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796" w:rsidRDefault="00A35796" w:rsidP="00A35796">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tbl>
      <w:tblPr>
        <w:tblStyle w:val="a9"/>
        <w:tblW w:w="0" w:type="auto"/>
        <w:jc w:val="center"/>
        <w:tblLook w:val="04A0" w:firstRow="1" w:lastRow="0" w:firstColumn="1" w:lastColumn="0" w:noHBand="0" w:noVBand="1"/>
      </w:tblPr>
      <w:tblGrid>
        <w:gridCol w:w="9212"/>
      </w:tblGrid>
      <w:tr w:rsidR="00A35796" w:rsidRPr="00F611F8" w:rsidTr="00B30004">
        <w:trPr>
          <w:jc w:val="center"/>
        </w:trPr>
        <w:tc>
          <w:tcPr>
            <w:tcW w:w="9212" w:type="dxa"/>
          </w:tcPr>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ПРОЦЕДУРА ЧРЕЗ ПОДБОР НА ПРОЕКТНИ ПРЕДЛОЖЕНИЯ</w:t>
            </w:r>
          </w:p>
          <w:p w:rsidR="00A35796"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w:t>
            </w:r>
            <w:r w:rsidRPr="00F611F8">
              <w:t xml:space="preserve"> </w:t>
            </w:r>
            <w:r w:rsidRPr="00F611F8">
              <w:rPr>
                <w:rFonts w:ascii="Times New Roman" w:eastAsia="Times New Roman" w:hAnsi="Times New Roman" w:cs="Times New Roman"/>
                <w:b/>
                <w:bCs/>
                <w:shd w:val="clear" w:color="auto" w:fill="FEFEFE"/>
                <w:lang w:eastAsia="bg-BG"/>
              </w:rPr>
              <w:t xml:space="preserve">BG06RDNP001-19.128 с няколко срока за кандидатстване по подмярка </w:t>
            </w:r>
            <w:bookmarkStart w:id="0" w:name="_Hlk526501237"/>
            <w:r w:rsidRPr="00F611F8">
              <w:rPr>
                <w:rFonts w:ascii="Times New Roman" w:eastAsia="Times New Roman" w:hAnsi="Times New Roman" w:cs="Times New Roman"/>
                <w:b/>
                <w:bCs/>
                <w:shd w:val="clear" w:color="auto" w:fill="FEFEFE"/>
                <w:lang w:eastAsia="bg-BG"/>
              </w:rPr>
              <w:t>7.5 „Инвестиции за публично ползване в инфраструктура за отдих, туристическа инфраструктура”</w:t>
            </w:r>
            <w:bookmarkEnd w:id="0"/>
            <w:r w:rsidRPr="001D5DA0">
              <w:rPr>
                <w:rFonts w:ascii="Times New Roman" w:eastAsia="Times New Roman" w:hAnsi="Times New Roman" w:cs="Times New Roman"/>
                <w:b/>
                <w:bCs/>
                <w:shd w:val="clear" w:color="auto" w:fill="FEFEFE"/>
                <w:lang w:val="ru-RU" w:eastAsia="bg-BG"/>
              </w:rPr>
              <w:t xml:space="preserve"> </w:t>
            </w:r>
            <w:r w:rsidRPr="00F611F8">
              <w:rPr>
                <w:rFonts w:ascii="Times New Roman" w:eastAsia="Times New Roman" w:hAnsi="Times New Roman" w:cs="Times New Roman"/>
                <w:b/>
                <w:bCs/>
                <w:shd w:val="clear" w:color="auto" w:fill="FEFEFE"/>
                <w:lang w:eastAsia="bg-BG"/>
              </w:rPr>
              <w:t xml:space="preserve">от </w:t>
            </w:r>
            <w:r w:rsidRPr="00F611F8">
              <w:rPr>
                <w:rFonts w:ascii="Times New Roman" w:eastAsiaTheme="majorEastAsia" w:hAnsi="Times New Roman" w:cstheme="majorBidi"/>
                <w:b/>
                <w:bCs/>
                <w:sz w:val="24"/>
                <w:szCs w:val="28"/>
              </w:rPr>
              <w:t>Стратегия за Водено от общностите местно развитие</w:t>
            </w:r>
            <w:r w:rsidRPr="00F611F8">
              <w:rPr>
                <w:rFonts w:ascii="Times New Roman" w:eastAsia="Times New Roman" w:hAnsi="Times New Roman" w:cs="Times New Roman"/>
                <w:b/>
                <w:bCs/>
                <w:shd w:val="clear" w:color="auto" w:fill="FEFEFE"/>
                <w:lang w:eastAsia="bg-BG"/>
              </w:rPr>
              <w:t xml:space="preserve"> на</w:t>
            </w: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СНЦ „МИГ Чирпан“</w:t>
            </w:r>
          </w:p>
          <w:p w:rsidR="00A35796" w:rsidRPr="00F611F8" w:rsidRDefault="00A35796" w:rsidP="00B30004">
            <w:pPr>
              <w:spacing w:line="360" w:lineRule="auto"/>
              <w:jc w:val="center"/>
              <w:rPr>
                <w:rFonts w:ascii="Times New Roman" w:eastAsiaTheme="majorEastAsia" w:hAnsi="Times New Roman" w:cstheme="majorBidi"/>
                <w:b/>
                <w:bCs/>
                <w:color w:val="ACB9CA" w:themeColor="text2" w:themeTint="66"/>
                <w:sz w:val="24"/>
                <w:szCs w:val="28"/>
              </w:rPr>
            </w:pPr>
          </w:p>
        </w:tc>
      </w:tr>
    </w:tbl>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Pr="00E46EFD" w:rsidRDefault="00A35796" w:rsidP="00A35796">
      <w:pPr>
        <w:spacing w:line="360" w:lineRule="auto"/>
        <w:jc w:val="both"/>
        <w:rPr>
          <w:rFonts w:ascii="Times New Roman" w:eastAsiaTheme="majorEastAsia" w:hAnsi="Times New Roman" w:cstheme="majorBidi"/>
          <w:b/>
          <w:bCs/>
        </w:rPr>
      </w:pPr>
      <w:bookmarkStart w:id="1" w:name="_Hlk526422924"/>
      <w:r w:rsidRPr="001D5DA0">
        <w:rPr>
          <w:rFonts w:ascii="Times New Roman" w:eastAsiaTheme="majorEastAsia" w:hAnsi="Times New Roman" w:cstheme="majorBidi"/>
          <w:b/>
          <w:bCs/>
          <w:sz w:val="24"/>
          <w:szCs w:val="28"/>
          <w:lang w:val="ru-RU"/>
        </w:rPr>
        <w:t xml:space="preserve"> </w:t>
      </w:r>
      <w:r w:rsidRPr="00E46EFD">
        <w:rPr>
          <w:rFonts w:ascii="Times New Roman" w:eastAsiaTheme="majorEastAsia" w:hAnsi="Times New Roman" w:cstheme="majorBidi"/>
          <w:b/>
          <w:bCs/>
        </w:rPr>
        <w:t>Настоящият прием на проектни предложения  се отнася само за допустими дейности и бенефициенти, за които МИГ определи финансово подпомагане като „непомощ“ в съотстветсвие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bookmarkEnd w:id="1"/>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A35796" w:rsidRDefault="00A35796" w:rsidP="00A35796">
          <w:pPr>
            <w:pStyle w:val="1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26320272" w:history="1">
            <w:r w:rsidRPr="004E3AF8">
              <w:rPr>
                <w:rStyle w:val="ab"/>
                <w:rFonts w:cs="Times New Roman"/>
                <w:noProof/>
              </w:rPr>
              <w:t>СПИСЪК НА СЪКРАЩЕНИЯТА:</w:t>
            </w:r>
            <w:r>
              <w:rPr>
                <w:noProof/>
                <w:webHidden/>
              </w:rPr>
              <w:tab/>
            </w:r>
            <w:r>
              <w:rPr>
                <w:noProof/>
                <w:webHidden/>
              </w:rPr>
              <w:fldChar w:fldCharType="begin"/>
            </w:r>
            <w:r>
              <w:rPr>
                <w:noProof/>
                <w:webHidden/>
              </w:rPr>
              <w:instrText xml:space="preserve"> PAGEREF _Toc526320272 \h </w:instrText>
            </w:r>
            <w:r>
              <w:rPr>
                <w:noProof/>
                <w:webHidden/>
              </w:rPr>
            </w:r>
            <w:r>
              <w:rPr>
                <w:noProof/>
                <w:webHidden/>
              </w:rPr>
              <w:fldChar w:fldCharType="separate"/>
            </w:r>
            <w:r w:rsidR="00B8165A">
              <w:rPr>
                <w:noProof/>
                <w:webHidden/>
              </w:rPr>
              <w:t>4</w:t>
            </w:r>
            <w:r>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3" w:history="1">
            <w:r w:rsidR="00A35796" w:rsidRPr="004E3AF8">
              <w:rPr>
                <w:rStyle w:val="ab"/>
                <w:rFonts w:cs="Times New Roman"/>
                <w:noProof/>
              </w:rPr>
              <w:t>ОБЯСНИТЕЛНИ БЕЛЕЖКИ:</w:t>
            </w:r>
            <w:r w:rsidR="00A35796">
              <w:rPr>
                <w:noProof/>
                <w:webHidden/>
              </w:rPr>
              <w:tab/>
            </w:r>
            <w:r w:rsidR="00A35796">
              <w:rPr>
                <w:noProof/>
                <w:webHidden/>
              </w:rPr>
              <w:fldChar w:fldCharType="begin"/>
            </w:r>
            <w:r w:rsidR="00A35796">
              <w:rPr>
                <w:noProof/>
                <w:webHidden/>
              </w:rPr>
              <w:instrText xml:space="preserve"> PAGEREF _Toc526320273 \h </w:instrText>
            </w:r>
            <w:r w:rsidR="00A35796">
              <w:rPr>
                <w:noProof/>
                <w:webHidden/>
              </w:rPr>
            </w:r>
            <w:r w:rsidR="00A35796">
              <w:rPr>
                <w:noProof/>
                <w:webHidden/>
              </w:rPr>
              <w:fldChar w:fldCharType="separate"/>
            </w:r>
            <w:r w:rsidR="00B8165A">
              <w:rPr>
                <w:noProof/>
                <w:webHidden/>
              </w:rPr>
              <w:t>5</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4" w:history="1">
            <w:r w:rsidR="00A35796" w:rsidRPr="004E3AF8">
              <w:rPr>
                <w:rStyle w:val="ab"/>
                <w:rFonts w:cs="Times New Roman"/>
                <w:noProof/>
              </w:rPr>
              <w:t>1. Наименование на програмата:</w:t>
            </w:r>
            <w:r w:rsidR="00A35796">
              <w:rPr>
                <w:noProof/>
                <w:webHidden/>
              </w:rPr>
              <w:tab/>
            </w:r>
            <w:r w:rsidR="00A35796">
              <w:rPr>
                <w:noProof/>
                <w:webHidden/>
              </w:rPr>
              <w:fldChar w:fldCharType="begin"/>
            </w:r>
            <w:r w:rsidR="00A35796">
              <w:rPr>
                <w:noProof/>
                <w:webHidden/>
              </w:rPr>
              <w:instrText xml:space="preserve"> PAGEREF _Toc526320274 \h </w:instrText>
            </w:r>
            <w:r w:rsidR="00A35796">
              <w:rPr>
                <w:noProof/>
                <w:webHidden/>
              </w:rPr>
            </w:r>
            <w:r w:rsidR="00A35796">
              <w:rPr>
                <w:noProof/>
                <w:webHidden/>
              </w:rPr>
              <w:fldChar w:fldCharType="separate"/>
            </w:r>
            <w:r w:rsidR="00B8165A">
              <w:rPr>
                <w:noProof/>
                <w:webHidden/>
              </w:rPr>
              <w:t>9</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5" w:history="1">
            <w:r w:rsidR="00A35796" w:rsidRPr="004E3AF8">
              <w:rPr>
                <w:rStyle w:val="ab"/>
                <w:rFonts w:cs="Times New Roman"/>
                <w:noProof/>
              </w:rPr>
              <w:t>2. Наименование на приоритетната ос:</w:t>
            </w:r>
            <w:r w:rsidR="00A35796">
              <w:rPr>
                <w:noProof/>
                <w:webHidden/>
              </w:rPr>
              <w:tab/>
            </w:r>
            <w:r w:rsidR="00A35796">
              <w:rPr>
                <w:noProof/>
                <w:webHidden/>
              </w:rPr>
              <w:fldChar w:fldCharType="begin"/>
            </w:r>
            <w:r w:rsidR="00A35796">
              <w:rPr>
                <w:noProof/>
                <w:webHidden/>
              </w:rPr>
              <w:instrText xml:space="preserve"> PAGEREF _Toc526320275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6" w:history="1">
            <w:r w:rsidR="00A35796" w:rsidRPr="004E3AF8">
              <w:rPr>
                <w:rStyle w:val="ab"/>
                <w:rFonts w:cs="Times New Roman"/>
                <w:noProof/>
              </w:rPr>
              <w:t>3. Наименование на процедурата:</w:t>
            </w:r>
            <w:r w:rsidR="00A35796">
              <w:rPr>
                <w:noProof/>
                <w:webHidden/>
              </w:rPr>
              <w:tab/>
            </w:r>
            <w:r w:rsidR="00A35796">
              <w:rPr>
                <w:noProof/>
                <w:webHidden/>
              </w:rPr>
              <w:fldChar w:fldCharType="begin"/>
            </w:r>
            <w:r w:rsidR="00A35796">
              <w:rPr>
                <w:noProof/>
                <w:webHidden/>
              </w:rPr>
              <w:instrText xml:space="preserve"> PAGEREF _Toc526320276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7" w:history="1">
            <w:r w:rsidR="00A35796" w:rsidRPr="004E3AF8">
              <w:rPr>
                <w:rStyle w:val="ab"/>
                <w:rFonts w:cs="Times New Roman"/>
                <w:noProof/>
              </w:rPr>
              <w:t>4. Измерения по кодове:</w:t>
            </w:r>
            <w:r w:rsidR="00A35796">
              <w:rPr>
                <w:noProof/>
                <w:webHidden/>
              </w:rPr>
              <w:tab/>
            </w:r>
            <w:r w:rsidR="00A35796">
              <w:rPr>
                <w:noProof/>
                <w:webHidden/>
              </w:rPr>
              <w:fldChar w:fldCharType="begin"/>
            </w:r>
            <w:r w:rsidR="00A35796">
              <w:rPr>
                <w:noProof/>
                <w:webHidden/>
              </w:rPr>
              <w:instrText xml:space="preserve"> PAGEREF _Toc526320277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8" w:history="1">
            <w:r w:rsidR="00A35796" w:rsidRPr="004E3AF8">
              <w:rPr>
                <w:rStyle w:val="ab"/>
                <w:rFonts w:cs="Times New Roman"/>
                <w:noProof/>
              </w:rPr>
              <w:t>5. Териториален обхват:</w:t>
            </w:r>
            <w:r w:rsidR="00A35796">
              <w:rPr>
                <w:noProof/>
                <w:webHidden/>
              </w:rPr>
              <w:tab/>
            </w:r>
            <w:r w:rsidR="00A35796">
              <w:rPr>
                <w:noProof/>
                <w:webHidden/>
              </w:rPr>
              <w:fldChar w:fldCharType="begin"/>
            </w:r>
            <w:r w:rsidR="00A35796">
              <w:rPr>
                <w:noProof/>
                <w:webHidden/>
              </w:rPr>
              <w:instrText xml:space="preserve"> PAGEREF _Toc526320278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79" w:history="1">
            <w:r w:rsidR="00A35796" w:rsidRPr="004E3AF8">
              <w:rPr>
                <w:rStyle w:val="ab"/>
                <w:rFonts w:cs="Times New Roman"/>
                <w:noProof/>
              </w:rPr>
              <w:t>6. Цели на предоставяната безвъзмездна финансова помощ по процедурата и очаквани резултати:</w:t>
            </w:r>
            <w:r w:rsidR="00A35796">
              <w:rPr>
                <w:noProof/>
                <w:webHidden/>
              </w:rPr>
              <w:tab/>
            </w:r>
            <w:r w:rsidR="00A35796">
              <w:rPr>
                <w:noProof/>
                <w:webHidden/>
              </w:rPr>
              <w:fldChar w:fldCharType="begin"/>
            </w:r>
            <w:r w:rsidR="00A35796">
              <w:rPr>
                <w:noProof/>
                <w:webHidden/>
              </w:rPr>
              <w:instrText xml:space="preserve"> PAGEREF _Toc526320279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0" w:history="1">
            <w:r w:rsidR="00A35796" w:rsidRPr="004E3AF8">
              <w:rPr>
                <w:rStyle w:val="ab"/>
                <w:rFonts w:cs="Times New Roman"/>
                <w:noProof/>
              </w:rPr>
              <w:t>7. Индикатори:</w:t>
            </w:r>
            <w:r w:rsidR="00A35796">
              <w:rPr>
                <w:noProof/>
                <w:webHidden/>
              </w:rPr>
              <w:tab/>
            </w:r>
            <w:r w:rsidR="00A35796">
              <w:rPr>
                <w:noProof/>
                <w:webHidden/>
              </w:rPr>
              <w:fldChar w:fldCharType="begin"/>
            </w:r>
            <w:r w:rsidR="00A35796">
              <w:rPr>
                <w:noProof/>
                <w:webHidden/>
              </w:rPr>
              <w:instrText xml:space="preserve"> PAGEREF _Toc526320280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1" w:history="1">
            <w:r w:rsidR="00A35796" w:rsidRPr="004E3AF8">
              <w:rPr>
                <w:rStyle w:val="ab"/>
                <w:noProof/>
              </w:rPr>
              <w:t>8. Общ размер на безвъзмездната финансова помощ по процедурата:</w:t>
            </w:r>
            <w:r w:rsidR="00A35796">
              <w:rPr>
                <w:noProof/>
                <w:webHidden/>
              </w:rPr>
              <w:tab/>
            </w:r>
            <w:r w:rsidR="00A35796">
              <w:rPr>
                <w:noProof/>
                <w:webHidden/>
              </w:rPr>
              <w:fldChar w:fldCharType="begin"/>
            </w:r>
            <w:r w:rsidR="00A35796">
              <w:rPr>
                <w:noProof/>
                <w:webHidden/>
              </w:rPr>
              <w:instrText xml:space="preserve"> PAGEREF _Toc526320281 \h </w:instrText>
            </w:r>
            <w:r w:rsidR="00A35796">
              <w:rPr>
                <w:noProof/>
                <w:webHidden/>
              </w:rPr>
            </w:r>
            <w:r w:rsidR="00A35796">
              <w:rPr>
                <w:noProof/>
                <w:webHidden/>
              </w:rPr>
              <w:fldChar w:fldCharType="separate"/>
            </w:r>
            <w:r w:rsidR="00B8165A">
              <w:rPr>
                <w:noProof/>
                <w:webHidden/>
              </w:rPr>
              <w:t>12</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2" w:history="1">
            <w:r w:rsidR="00A35796" w:rsidRPr="004E3AF8">
              <w:rPr>
                <w:rStyle w:val="ab"/>
                <w:noProof/>
              </w:rPr>
              <w:t>9. Минимален и максимален размер на безвъзмездната финансова помощ за конкретен проект:</w:t>
            </w:r>
            <w:r w:rsidR="00A35796">
              <w:rPr>
                <w:noProof/>
                <w:webHidden/>
              </w:rPr>
              <w:tab/>
            </w:r>
            <w:r w:rsidR="00A35796">
              <w:rPr>
                <w:noProof/>
                <w:webHidden/>
              </w:rPr>
              <w:fldChar w:fldCharType="begin"/>
            </w:r>
            <w:r w:rsidR="00A35796">
              <w:rPr>
                <w:noProof/>
                <w:webHidden/>
              </w:rPr>
              <w:instrText xml:space="preserve"> PAGEREF _Toc526320282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D72E3A" w:rsidP="00A35796">
          <w:pPr>
            <w:pStyle w:val="11"/>
            <w:tabs>
              <w:tab w:val="right" w:leader="dot" w:pos="9062"/>
            </w:tabs>
            <w:rPr>
              <w:noProof/>
            </w:rPr>
          </w:pPr>
          <w:hyperlink w:anchor="_Toc526320283" w:history="1">
            <w:r w:rsidR="00A35796" w:rsidRPr="004E3AF8">
              <w:rPr>
                <w:rStyle w:val="ab"/>
                <w:noProof/>
              </w:rPr>
              <w:t>10. Процент на съфинансиране:</w:t>
            </w:r>
            <w:r w:rsidR="00A35796">
              <w:rPr>
                <w:noProof/>
                <w:webHidden/>
              </w:rPr>
              <w:tab/>
            </w:r>
            <w:r w:rsidR="00A35796">
              <w:rPr>
                <w:noProof/>
                <w:webHidden/>
              </w:rPr>
              <w:fldChar w:fldCharType="begin"/>
            </w:r>
            <w:r w:rsidR="00A35796">
              <w:rPr>
                <w:noProof/>
                <w:webHidden/>
              </w:rPr>
              <w:instrText xml:space="preserve"> PAGEREF _Toc526320283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5D74A5" w:rsidRPr="005D74A5" w:rsidRDefault="005D74A5" w:rsidP="005D74A5">
          <w:r>
            <w:t>11.1.Критерии за допустимост на кандидатите…………………………………………………………………………….13</w:t>
          </w:r>
        </w:p>
        <w:p w:rsidR="00A35796" w:rsidRDefault="00D72E3A" w:rsidP="00A35796">
          <w:pPr>
            <w:pStyle w:val="11"/>
            <w:tabs>
              <w:tab w:val="right" w:leader="dot" w:pos="9062"/>
            </w:tabs>
            <w:rPr>
              <w:rFonts w:eastAsiaTheme="minorEastAsia"/>
              <w:noProof/>
              <w:lang w:eastAsia="bg-BG"/>
            </w:rPr>
          </w:pPr>
          <w:hyperlink w:anchor="_Toc526320284" w:history="1">
            <w:r w:rsidR="00A35796" w:rsidRPr="004E3AF8">
              <w:rPr>
                <w:rStyle w:val="ab"/>
                <w:noProof/>
              </w:rPr>
              <w:t>11. Допустими кандидати:</w:t>
            </w:r>
            <w:r w:rsidR="00A35796">
              <w:rPr>
                <w:noProof/>
                <w:webHidden/>
              </w:rPr>
              <w:tab/>
            </w:r>
            <w:r w:rsidR="00A35796">
              <w:rPr>
                <w:noProof/>
                <w:webHidden/>
              </w:rPr>
              <w:fldChar w:fldCharType="begin"/>
            </w:r>
            <w:r w:rsidR="00A35796">
              <w:rPr>
                <w:noProof/>
                <w:webHidden/>
              </w:rPr>
              <w:instrText xml:space="preserve"> PAGEREF _Toc526320284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5" w:history="1">
            <w:r w:rsidR="00A35796" w:rsidRPr="004E3AF8">
              <w:rPr>
                <w:rStyle w:val="ab"/>
                <w:noProof/>
              </w:rPr>
              <w:t>11.2 Критерии за недопустимост на кандидатите:</w:t>
            </w:r>
            <w:r w:rsidR="00A35796">
              <w:rPr>
                <w:noProof/>
                <w:webHidden/>
              </w:rPr>
              <w:tab/>
            </w:r>
            <w:r w:rsidR="00A35796">
              <w:rPr>
                <w:noProof/>
                <w:webHidden/>
              </w:rPr>
              <w:fldChar w:fldCharType="begin"/>
            </w:r>
            <w:r w:rsidR="00A35796">
              <w:rPr>
                <w:noProof/>
                <w:webHidden/>
              </w:rPr>
              <w:instrText xml:space="preserve"> PAGEREF _Toc526320285 \h </w:instrText>
            </w:r>
            <w:r w:rsidR="00A35796">
              <w:rPr>
                <w:noProof/>
                <w:webHidden/>
              </w:rPr>
            </w:r>
            <w:r w:rsidR="00A35796">
              <w:rPr>
                <w:noProof/>
                <w:webHidden/>
              </w:rPr>
              <w:fldChar w:fldCharType="separate"/>
            </w:r>
            <w:r w:rsidR="00B8165A">
              <w:rPr>
                <w:noProof/>
                <w:webHidden/>
              </w:rPr>
              <w:t>17</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6" w:history="1">
            <w:r w:rsidR="00A35796" w:rsidRPr="004E3AF8">
              <w:rPr>
                <w:rStyle w:val="ab"/>
                <w:noProof/>
              </w:rPr>
              <w:t>12. Допустими партньори:</w:t>
            </w:r>
            <w:r w:rsidR="00A35796">
              <w:rPr>
                <w:noProof/>
                <w:webHidden/>
              </w:rPr>
              <w:tab/>
            </w:r>
            <w:r w:rsidR="00A35796">
              <w:rPr>
                <w:noProof/>
                <w:webHidden/>
              </w:rPr>
              <w:fldChar w:fldCharType="begin"/>
            </w:r>
            <w:r w:rsidR="00A35796">
              <w:rPr>
                <w:noProof/>
                <w:webHidden/>
              </w:rPr>
              <w:instrText xml:space="preserve"> PAGEREF _Toc526320286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87" w:history="1">
            <w:r w:rsidR="00A35796" w:rsidRPr="004E3AF8">
              <w:rPr>
                <w:rStyle w:val="ab"/>
                <w:noProof/>
              </w:rPr>
              <w:t>13. Дейности,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_Toc526320287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D72E3A" w:rsidP="00A35796">
          <w:pPr>
            <w:pStyle w:val="11"/>
            <w:tabs>
              <w:tab w:val="right" w:leader="dot" w:pos="9062"/>
            </w:tabs>
            <w:rPr>
              <w:noProof/>
            </w:rPr>
          </w:pPr>
          <w:hyperlink w:anchor="_Toc526320288" w:history="1">
            <w:r w:rsidR="00A35796" w:rsidRPr="004E3AF8">
              <w:rPr>
                <w:rStyle w:val="ab"/>
                <w:rFonts w:cs="Times New Roman"/>
                <w:noProof/>
              </w:rPr>
              <w:t>14. Категории разходи,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_Toc526320288 \h </w:instrText>
            </w:r>
            <w:r w:rsidR="00A35796">
              <w:rPr>
                <w:noProof/>
                <w:webHidden/>
              </w:rPr>
            </w:r>
            <w:r w:rsidR="00A35796">
              <w:rPr>
                <w:noProof/>
                <w:webHidden/>
              </w:rPr>
              <w:fldChar w:fldCharType="separate"/>
            </w:r>
            <w:r w:rsidR="00B8165A">
              <w:rPr>
                <w:noProof/>
                <w:webHidden/>
              </w:rPr>
              <w:t>24</w:t>
            </w:r>
            <w:r w:rsidR="00A35796">
              <w:rPr>
                <w:noProof/>
                <w:webHidden/>
              </w:rPr>
              <w:fldChar w:fldCharType="end"/>
            </w:r>
          </w:hyperlink>
        </w:p>
        <w:p w:rsidR="005D74A5" w:rsidRPr="005D74A5" w:rsidRDefault="005D74A5" w:rsidP="005D74A5">
          <w:r>
            <w:t>14.1.Допустими разходи…………………………………………………………………………………………………………………24</w:t>
          </w:r>
        </w:p>
        <w:p w:rsidR="00A35796" w:rsidRDefault="00D72E3A" w:rsidP="00A35796">
          <w:pPr>
            <w:pStyle w:val="11"/>
            <w:tabs>
              <w:tab w:val="right" w:leader="dot" w:pos="9062"/>
            </w:tabs>
            <w:rPr>
              <w:rFonts w:eastAsiaTheme="minorEastAsia"/>
              <w:noProof/>
              <w:lang w:eastAsia="bg-BG"/>
            </w:rPr>
          </w:pPr>
          <w:hyperlink w:anchor="_Toc526320289" w:history="1">
            <w:r w:rsidR="00A35796" w:rsidRPr="004E3AF8">
              <w:rPr>
                <w:rStyle w:val="ab"/>
                <w:noProof/>
              </w:rPr>
              <w:t>14. 2. Условия за допустимост на разходите:</w:t>
            </w:r>
            <w:r w:rsidR="00A35796">
              <w:rPr>
                <w:noProof/>
                <w:webHidden/>
              </w:rPr>
              <w:tab/>
            </w:r>
            <w:r w:rsidR="00A35796">
              <w:rPr>
                <w:noProof/>
                <w:webHidden/>
              </w:rPr>
              <w:fldChar w:fldCharType="begin"/>
            </w:r>
            <w:r w:rsidR="00A35796">
              <w:rPr>
                <w:noProof/>
                <w:webHidden/>
              </w:rPr>
              <w:instrText xml:space="preserve"> PAGEREF _Toc526320289 \h </w:instrText>
            </w:r>
            <w:r w:rsidR="00A35796">
              <w:rPr>
                <w:noProof/>
                <w:webHidden/>
              </w:rPr>
            </w:r>
            <w:r w:rsidR="00A35796">
              <w:rPr>
                <w:noProof/>
                <w:webHidden/>
              </w:rPr>
              <w:fldChar w:fldCharType="separate"/>
            </w:r>
            <w:r w:rsidR="00B8165A">
              <w:rPr>
                <w:noProof/>
                <w:webHidden/>
              </w:rPr>
              <w:t>25</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0" w:history="1">
            <w:r w:rsidR="00A35796" w:rsidRPr="004E3AF8">
              <w:rPr>
                <w:rStyle w:val="ab"/>
                <w:noProof/>
              </w:rPr>
              <w:t>14. 3. Недопустими разходи:</w:t>
            </w:r>
            <w:r w:rsidR="00A35796">
              <w:rPr>
                <w:noProof/>
                <w:webHidden/>
              </w:rPr>
              <w:tab/>
            </w:r>
            <w:r w:rsidR="00A35796">
              <w:rPr>
                <w:noProof/>
                <w:webHidden/>
              </w:rPr>
              <w:fldChar w:fldCharType="begin"/>
            </w:r>
            <w:r w:rsidR="00A35796">
              <w:rPr>
                <w:noProof/>
                <w:webHidden/>
              </w:rPr>
              <w:instrText xml:space="preserve"> PAGEREF _Toc526320290 \h </w:instrText>
            </w:r>
            <w:r w:rsidR="00A35796">
              <w:rPr>
                <w:noProof/>
                <w:webHidden/>
              </w:rPr>
            </w:r>
            <w:r w:rsidR="00A35796">
              <w:rPr>
                <w:noProof/>
                <w:webHidden/>
              </w:rPr>
              <w:fldChar w:fldCharType="separate"/>
            </w:r>
            <w:r w:rsidR="00B8165A">
              <w:rPr>
                <w:noProof/>
                <w:webHidden/>
              </w:rPr>
              <w:t>27</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1" w:history="1">
            <w:r w:rsidR="00A35796" w:rsidRPr="004E3AF8">
              <w:rPr>
                <w:rStyle w:val="ab"/>
                <w:noProof/>
              </w:rPr>
              <w:t>15. Допустими целеви групи (ако е приложимо):</w:t>
            </w:r>
            <w:r w:rsidR="00A35796">
              <w:rPr>
                <w:noProof/>
                <w:webHidden/>
              </w:rPr>
              <w:tab/>
            </w:r>
            <w:r w:rsidR="00A35796">
              <w:rPr>
                <w:noProof/>
                <w:webHidden/>
              </w:rPr>
              <w:fldChar w:fldCharType="begin"/>
            </w:r>
            <w:r w:rsidR="00A35796">
              <w:rPr>
                <w:noProof/>
                <w:webHidden/>
              </w:rPr>
              <w:instrText xml:space="preserve"> PAGEREF _Toc526320291 \h </w:instrText>
            </w:r>
            <w:r w:rsidR="00A35796">
              <w:rPr>
                <w:noProof/>
                <w:webHidden/>
              </w:rPr>
            </w:r>
            <w:r w:rsidR="00A35796">
              <w:rPr>
                <w:noProof/>
                <w:webHidden/>
              </w:rPr>
              <w:fldChar w:fldCharType="separate"/>
            </w:r>
            <w:r w:rsidR="00B8165A">
              <w:rPr>
                <w:noProof/>
                <w:webHidden/>
              </w:rPr>
              <w:t>28</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2" w:history="1">
            <w:r w:rsidR="00A35796" w:rsidRPr="004E3AF8">
              <w:rPr>
                <w:rStyle w:val="ab"/>
                <w:noProof/>
              </w:rPr>
              <w:t>16. Приложим режим на минимални/държавни помощи:</w:t>
            </w:r>
            <w:r w:rsidR="00A35796">
              <w:rPr>
                <w:noProof/>
                <w:webHidden/>
              </w:rPr>
              <w:tab/>
            </w:r>
            <w:r w:rsidR="00A35796">
              <w:rPr>
                <w:noProof/>
                <w:webHidden/>
              </w:rPr>
              <w:fldChar w:fldCharType="begin"/>
            </w:r>
            <w:r w:rsidR="00A35796">
              <w:rPr>
                <w:noProof/>
                <w:webHidden/>
              </w:rPr>
              <w:instrText xml:space="preserve"> PAGEREF _Toc526320292 \h </w:instrText>
            </w:r>
            <w:r w:rsidR="00A35796">
              <w:rPr>
                <w:noProof/>
                <w:webHidden/>
              </w:rPr>
            </w:r>
            <w:r w:rsidR="00A35796">
              <w:rPr>
                <w:noProof/>
                <w:webHidden/>
              </w:rPr>
              <w:fldChar w:fldCharType="separate"/>
            </w:r>
            <w:r w:rsidR="00B8165A">
              <w:rPr>
                <w:noProof/>
                <w:webHidden/>
              </w:rPr>
              <w:t>29</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3" w:history="1">
            <w:r w:rsidR="00A35796" w:rsidRPr="004E3AF8">
              <w:rPr>
                <w:rStyle w:val="ab"/>
                <w:noProof/>
              </w:rPr>
              <w:t>17. Хоризонтални политики:</w:t>
            </w:r>
            <w:r w:rsidR="00A35796">
              <w:rPr>
                <w:noProof/>
                <w:webHidden/>
              </w:rPr>
              <w:tab/>
            </w:r>
            <w:r w:rsidR="00A35796">
              <w:rPr>
                <w:noProof/>
                <w:webHidden/>
              </w:rPr>
              <w:fldChar w:fldCharType="begin"/>
            </w:r>
            <w:r w:rsidR="00A35796">
              <w:rPr>
                <w:noProof/>
                <w:webHidden/>
              </w:rPr>
              <w:instrText xml:space="preserve"> PAGEREF _Toc526320293 \h </w:instrText>
            </w:r>
            <w:r w:rsidR="00A35796">
              <w:rPr>
                <w:noProof/>
                <w:webHidden/>
              </w:rPr>
            </w:r>
            <w:r w:rsidR="00A35796">
              <w:rPr>
                <w:noProof/>
                <w:webHidden/>
              </w:rPr>
              <w:fldChar w:fldCharType="separate"/>
            </w:r>
            <w:r w:rsidR="00B8165A">
              <w:rPr>
                <w:noProof/>
                <w:webHidden/>
              </w:rPr>
              <w:t>31</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4" w:history="1">
            <w:r w:rsidR="00A35796" w:rsidRPr="004E3AF8">
              <w:rPr>
                <w:rStyle w:val="ab"/>
                <w:noProof/>
              </w:rPr>
              <w:t>18. Минимален и максимален срок за изпълнение на проекта:</w:t>
            </w:r>
            <w:r w:rsidR="00A35796">
              <w:rPr>
                <w:noProof/>
                <w:webHidden/>
              </w:rPr>
              <w:tab/>
            </w:r>
            <w:r w:rsidR="00A35796">
              <w:rPr>
                <w:noProof/>
                <w:webHidden/>
              </w:rPr>
              <w:fldChar w:fldCharType="begin"/>
            </w:r>
            <w:r w:rsidR="00A35796">
              <w:rPr>
                <w:noProof/>
                <w:webHidden/>
              </w:rPr>
              <w:instrText xml:space="preserve"> PAGEREF _Toc526320294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5" w:history="1">
            <w:r w:rsidR="00A35796" w:rsidRPr="004E3AF8">
              <w:rPr>
                <w:rStyle w:val="ab"/>
                <w:noProof/>
              </w:rPr>
              <w:t>19. Ред за одобряване на концепциите за проектни предложения: неприложимо</w:t>
            </w:r>
            <w:r w:rsidR="00A35796">
              <w:rPr>
                <w:noProof/>
                <w:webHidden/>
              </w:rPr>
              <w:tab/>
            </w:r>
            <w:r w:rsidR="00A35796">
              <w:rPr>
                <w:noProof/>
                <w:webHidden/>
              </w:rPr>
              <w:fldChar w:fldCharType="begin"/>
            </w:r>
            <w:r w:rsidR="00A35796">
              <w:rPr>
                <w:noProof/>
                <w:webHidden/>
              </w:rPr>
              <w:instrText xml:space="preserve"> PAGEREF _Toc526320295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5D74A5" w:rsidRDefault="005D74A5" w:rsidP="00A35796">
          <w:pPr>
            <w:pStyle w:val="11"/>
            <w:tabs>
              <w:tab w:val="right" w:leader="dot" w:pos="9062"/>
            </w:tabs>
          </w:pPr>
          <w:r>
            <w:lastRenderedPageBreak/>
            <w:t>20.Критерии и методика за одобряване на концепциите за проектни предложения………………32</w:t>
          </w:r>
        </w:p>
        <w:p w:rsidR="00A35796" w:rsidRDefault="00D72E3A" w:rsidP="00A35796">
          <w:pPr>
            <w:pStyle w:val="11"/>
            <w:tabs>
              <w:tab w:val="right" w:leader="dot" w:pos="9062"/>
            </w:tabs>
            <w:rPr>
              <w:rFonts w:eastAsiaTheme="minorEastAsia"/>
              <w:noProof/>
              <w:lang w:eastAsia="bg-BG"/>
            </w:rPr>
          </w:pPr>
          <w:hyperlink w:anchor="_Toc526320296" w:history="1">
            <w:r w:rsidR="00A35796" w:rsidRPr="004E3AF8">
              <w:rPr>
                <w:rStyle w:val="ab"/>
                <w:noProof/>
              </w:rPr>
              <w:t>21. Ред за оценяване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_Toc526320296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7" w:history="1">
            <w:r w:rsidR="00A35796" w:rsidRPr="004E3AF8">
              <w:rPr>
                <w:rStyle w:val="ab"/>
                <w:noProof/>
              </w:rPr>
              <w:t>21.1 Оценка на административното съответствие и допустимост:</w:t>
            </w:r>
            <w:r w:rsidR="00A35796">
              <w:rPr>
                <w:noProof/>
                <w:webHidden/>
              </w:rPr>
              <w:tab/>
            </w:r>
            <w:r w:rsidR="00A35796">
              <w:rPr>
                <w:noProof/>
                <w:webHidden/>
              </w:rPr>
              <w:fldChar w:fldCharType="begin"/>
            </w:r>
            <w:r w:rsidR="00A35796">
              <w:rPr>
                <w:noProof/>
                <w:webHidden/>
              </w:rPr>
              <w:instrText xml:space="preserve"> PAGEREF _Toc526320297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8" w:history="1">
            <w:r w:rsidR="00A35796" w:rsidRPr="004E3AF8">
              <w:rPr>
                <w:rStyle w:val="ab"/>
                <w:noProof/>
              </w:rPr>
              <w:t>21.2 Техническа и финансова оценка:</w:t>
            </w:r>
            <w:r w:rsidR="00A35796">
              <w:rPr>
                <w:noProof/>
                <w:webHidden/>
              </w:rPr>
              <w:tab/>
            </w:r>
            <w:r w:rsidR="00A35796">
              <w:rPr>
                <w:noProof/>
                <w:webHidden/>
              </w:rPr>
              <w:fldChar w:fldCharType="begin"/>
            </w:r>
            <w:r w:rsidR="00A35796">
              <w:rPr>
                <w:noProof/>
                <w:webHidden/>
              </w:rPr>
              <w:instrText xml:space="preserve"> PAGEREF _Toc526320298 \h </w:instrText>
            </w:r>
            <w:r w:rsidR="00A35796">
              <w:rPr>
                <w:noProof/>
                <w:webHidden/>
              </w:rPr>
            </w:r>
            <w:r w:rsidR="00A35796">
              <w:rPr>
                <w:noProof/>
                <w:webHidden/>
              </w:rPr>
              <w:fldChar w:fldCharType="separate"/>
            </w:r>
            <w:r w:rsidR="00B8165A">
              <w:rPr>
                <w:noProof/>
                <w:webHidden/>
              </w:rPr>
              <w:t>36</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299" w:history="1">
            <w:r w:rsidR="00A35796" w:rsidRPr="004E3AF8">
              <w:rPr>
                <w:rStyle w:val="ab"/>
                <w:noProof/>
              </w:rPr>
              <w:t>22. Критерии и методика за оценка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_Toc526320299 \h </w:instrText>
            </w:r>
            <w:r w:rsidR="00A35796">
              <w:rPr>
                <w:noProof/>
                <w:webHidden/>
              </w:rPr>
            </w:r>
            <w:r w:rsidR="00A35796">
              <w:rPr>
                <w:noProof/>
                <w:webHidden/>
              </w:rPr>
              <w:fldChar w:fldCharType="separate"/>
            </w:r>
            <w:r w:rsidR="00B8165A">
              <w:rPr>
                <w:noProof/>
                <w:webHidden/>
              </w:rPr>
              <w:t>37</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2" w:history="1">
            <w:r w:rsidR="00A35796" w:rsidRPr="004E3AF8">
              <w:rPr>
                <w:rStyle w:val="ab"/>
                <w:noProof/>
              </w:rPr>
              <w:t>23. Начин на подаване на проектните предложения/концепциите за проектни предложения:</w:t>
            </w:r>
            <w:r w:rsidR="00A35796">
              <w:rPr>
                <w:noProof/>
                <w:webHidden/>
              </w:rPr>
              <w:tab/>
            </w:r>
            <w:r w:rsidR="00A35796">
              <w:rPr>
                <w:noProof/>
                <w:webHidden/>
              </w:rPr>
              <w:fldChar w:fldCharType="begin"/>
            </w:r>
            <w:r w:rsidR="00A35796">
              <w:rPr>
                <w:noProof/>
                <w:webHidden/>
              </w:rPr>
              <w:instrText xml:space="preserve"> PAGEREF _Toc526320302 \h </w:instrText>
            </w:r>
            <w:r w:rsidR="00A35796">
              <w:rPr>
                <w:noProof/>
                <w:webHidden/>
              </w:rPr>
            </w:r>
            <w:r w:rsidR="00A35796">
              <w:rPr>
                <w:noProof/>
                <w:webHidden/>
              </w:rPr>
              <w:fldChar w:fldCharType="separate"/>
            </w:r>
            <w:r w:rsidR="00B8165A">
              <w:rPr>
                <w:noProof/>
                <w:webHidden/>
              </w:rPr>
              <w:t>38</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3" w:history="1">
            <w:r w:rsidR="00A35796" w:rsidRPr="004E3AF8">
              <w:rPr>
                <w:rStyle w:val="ab"/>
                <w:rFonts w:cs="Times New Roman"/>
                <w:noProof/>
              </w:rPr>
              <w:t>24. Списък на документите, които се подават на етап кандидатстване:</w:t>
            </w:r>
            <w:r w:rsidR="00A35796">
              <w:rPr>
                <w:noProof/>
                <w:webHidden/>
              </w:rPr>
              <w:tab/>
            </w:r>
            <w:r w:rsidR="00A35796">
              <w:rPr>
                <w:noProof/>
                <w:webHidden/>
              </w:rPr>
              <w:fldChar w:fldCharType="begin"/>
            </w:r>
            <w:r w:rsidR="00A35796">
              <w:rPr>
                <w:noProof/>
                <w:webHidden/>
              </w:rPr>
              <w:instrText xml:space="preserve"> PAGEREF _Toc526320303 \h </w:instrText>
            </w:r>
            <w:r w:rsidR="00A35796">
              <w:rPr>
                <w:noProof/>
                <w:webHidden/>
              </w:rPr>
            </w:r>
            <w:r w:rsidR="00A35796">
              <w:rPr>
                <w:noProof/>
                <w:webHidden/>
              </w:rPr>
              <w:fldChar w:fldCharType="separate"/>
            </w:r>
            <w:r w:rsidR="00B8165A">
              <w:rPr>
                <w:noProof/>
                <w:webHidden/>
              </w:rPr>
              <w:t>40</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4" w:history="1">
            <w:r w:rsidR="00A35796" w:rsidRPr="004E3AF8">
              <w:rPr>
                <w:rStyle w:val="ab"/>
                <w:noProof/>
              </w:rPr>
              <w:t>25. Краен срок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_Toc526320304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5" w:history="1">
            <w:r w:rsidR="00A35796" w:rsidRPr="004E3AF8">
              <w:rPr>
                <w:rStyle w:val="ab"/>
                <w:noProof/>
              </w:rPr>
              <w:t>26. Адрес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_Toc526320305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6" w:history="1">
            <w:r w:rsidR="00A35796" w:rsidRPr="004E3AF8">
              <w:rPr>
                <w:rStyle w:val="ab"/>
                <w:rFonts w:cs="Times New Roman"/>
                <w:noProof/>
              </w:rPr>
              <w:t>27. Допълнителна информация:</w:t>
            </w:r>
            <w:r w:rsidR="00A35796">
              <w:rPr>
                <w:noProof/>
                <w:webHidden/>
              </w:rPr>
              <w:tab/>
            </w:r>
            <w:r w:rsidR="00A35796">
              <w:rPr>
                <w:noProof/>
                <w:webHidden/>
              </w:rPr>
              <w:fldChar w:fldCharType="begin"/>
            </w:r>
            <w:r w:rsidR="00A35796">
              <w:rPr>
                <w:noProof/>
                <w:webHidden/>
              </w:rPr>
              <w:instrText xml:space="preserve"> PAGEREF _Toc526320306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7" w:history="1">
            <w:r w:rsidR="00A35796" w:rsidRPr="004E3AF8">
              <w:rPr>
                <w:rStyle w:val="ab"/>
                <w:rFonts w:cs="Times New Roman"/>
                <w:noProof/>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A35796">
              <w:rPr>
                <w:noProof/>
                <w:webHidden/>
              </w:rPr>
              <w:tab/>
            </w:r>
            <w:r w:rsidR="00A35796">
              <w:rPr>
                <w:noProof/>
                <w:webHidden/>
              </w:rPr>
              <w:fldChar w:fldCharType="begin"/>
            </w:r>
            <w:r w:rsidR="00A35796">
              <w:rPr>
                <w:noProof/>
                <w:webHidden/>
              </w:rPr>
              <w:instrText xml:space="preserve"> PAGEREF _Toc526320307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D72E3A" w:rsidP="00A35796">
          <w:pPr>
            <w:pStyle w:val="11"/>
            <w:tabs>
              <w:tab w:val="right" w:leader="dot" w:pos="9062"/>
            </w:tabs>
            <w:rPr>
              <w:rFonts w:eastAsiaTheme="minorEastAsia"/>
              <w:noProof/>
              <w:lang w:eastAsia="bg-BG"/>
            </w:rPr>
          </w:pPr>
          <w:hyperlink w:anchor="_Toc526320308" w:history="1">
            <w:r w:rsidR="00A35796" w:rsidRPr="004E3AF8">
              <w:rPr>
                <w:rStyle w:val="ab"/>
                <w:rFonts w:cs="Times New Roman"/>
                <w:noProof/>
              </w:rPr>
              <w:t>28. Приложения към Условията за кандидатстване:</w:t>
            </w:r>
            <w:r w:rsidR="00A35796">
              <w:rPr>
                <w:noProof/>
                <w:webHidden/>
              </w:rPr>
              <w:tab/>
            </w:r>
            <w:r w:rsidR="00A35796">
              <w:rPr>
                <w:noProof/>
                <w:webHidden/>
              </w:rPr>
              <w:fldChar w:fldCharType="begin"/>
            </w:r>
            <w:r w:rsidR="00A35796">
              <w:rPr>
                <w:noProof/>
                <w:webHidden/>
              </w:rPr>
              <w:instrText xml:space="preserve"> PAGEREF _Toc526320308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Pr="00CC3223" w:rsidRDefault="00A35796" w:rsidP="00A35796">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Pr="00CC3223" w:rsidRDefault="00A35796" w:rsidP="00A35796">
      <w:pPr>
        <w:pStyle w:val="1"/>
        <w:spacing w:line="240" w:lineRule="auto"/>
        <w:rPr>
          <w:rFonts w:cs="Times New Roman"/>
          <w:sz w:val="22"/>
          <w:szCs w:val="22"/>
        </w:rPr>
      </w:pPr>
      <w:bookmarkStart w:id="2" w:name="_Toc526320272"/>
      <w:r w:rsidRPr="00CC3223">
        <w:rPr>
          <w:rFonts w:cs="Times New Roman"/>
          <w:sz w:val="22"/>
          <w:szCs w:val="22"/>
        </w:rPr>
        <w:lastRenderedPageBreak/>
        <w:t>СПИСЪК НА СЪКРАЩЕНИЯТА:</w:t>
      </w:r>
      <w:bookmarkEnd w:id="2"/>
    </w:p>
    <w:tbl>
      <w:tblPr>
        <w:tblStyle w:val="2"/>
        <w:tblW w:w="9900" w:type="dxa"/>
        <w:tblLook w:val="04A0" w:firstRow="1" w:lastRow="0" w:firstColumn="1" w:lastColumn="0" w:noHBand="0" w:noVBand="1"/>
      </w:tblPr>
      <w:tblGrid>
        <w:gridCol w:w="2417"/>
        <w:gridCol w:w="7483"/>
      </w:tblGrid>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БФП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Безвъзмездна финансова помощ</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Данък върху добавената стойност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A35796" w:rsidRPr="009A425B" w:rsidTr="009A425B">
        <w:trPr>
          <w:trHeight w:val="35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данък добавена стойност</w:t>
            </w:r>
          </w:p>
        </w:tc>
      </w:tr>
      <w:tr w:rsidR="00A35796" w:rsidRPr="009A425B" w:rsidTr="009A425B">
        <w:trPr>
          <w:trHeight w:val="213"/>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ЗЕЕ</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енергийната ефективност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ЗЕУ</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електронното управление</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обществените поръчки</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ЗПЗП</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A35796" w:rsidRPr="009A425B" w:rsidTr="009A425B">
        <w:trPr>
          <w:trHeight w:val="665"/>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 xml:space="preserve">КЕП </w:t>
            </w:r>
          </w:p>
        </w:tc>
        <w:tc>
          <w:tcPr>
            <w:tcW w:w="7483" w:type="dxa"/>
          </w:tcPr>
          <w:p w:rsidR="00A35796" w:rsidRPr="009A425B" w:rsidRDefault="00A35796" w:rsidP="00B30004">
            <w:pPr>
              <w:jc w:val="both"/>
              <w:rPr>
                <w:rFonts w:ascii="Times New Roman" w:hAnsi="Times New Roman" w:cs="Times New Roman"/>
                <w:sz w:val="24"/>
                <w:szCs w:val="24"/>
                <w:shd w:val="clear" w:color="auto" w:fill="FEFEFE"/>
              </w:rPr>
            </w:pPr>
            <w:r w:rsidRPr="009A425B">
              <w:rPr>
                <w:rFonts w:ascii="Times New Roman" w:eastAsia="Times New Roman" w:hAnsi="Times New Roman" w:cs="Times New Roman"/>
                <w:sz w:val="24"/>
                <w:szCs w:val="24"/>
                <w:shd w:val="clear" w:color="auto" w:fill="FEFEFE"/>
                <w:lang w:eastAsia="bg-BG"/>
              </w:rPr>
              <w:t>Квалифициран електронен подпис</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КСС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Количествено-стойностни </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МЗХГ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Министерство на земеделието, храните и горите</w:t>
            </w:r>
          </w:p>
        </w:tc>
      </w:tr>
      <w:tr w:rsidR="00A35796" w:rsidRPr="009A425B" w:rsidTr="009A425B">
        <w:trPr>
          <w:trHeight w:val="604"/>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ОВ</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Официален вестник на ЕС</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ПМС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Постановление на Министерски съвет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РУО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Ръководител на управляващият орган</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СМР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Строително-монтажни работи</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bl>
    <w:p w:rsidR="00A35796" w:rsidRDefault="00A35796" w:rsidP="00A35796"/>
    <w:p w:rsidR="00A35796" w:rsidRDefault="00A35796" w:rsidP="00A35796">
      <w:pPr>
        <w:pStyle w:val="1"/>
        <w:spacing w:line="240" w:lineRule="auto"/>
        <w:rPr>
          <w:rFonts w:cs="Times New Roman"/>
          <w:sz w:val="22"/>
          <w:szCs w:val="22"/>
        </w:rPr>
      </w:pPr>
      <w:bookmarkStart w:id="3"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3"/>
    </w:p>
    <w:p w:rsidR="009A425B" w:rsidRPr="009A425B" w:rsidRDefault="009A425B" w:rsidP="009A425B"/>
    <w:tbl>
      <w:tblPr>
        <w:tblStyle w:val="12"/>
        <w:tblW w:w="9918" w:type="dxa"/>
        <w:tblLook w:val="04A0" w:firstRow="1" w:lastRow="0" w:firstColumn="1" w:lastColumn="0" w:noHBand="0" w:noVBand="1"/>
      </w:tblPr>
      <w:tblGrid>
        <w:gridCol w:w="2230"/>
        <w:gridCol w:w="7688"/>
      </w:tblGrid>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Авансово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Плащане по смисъла на </w:t>
            </w:r>
            <w:hyperlink r:id="rId7" w:history="1">
              <w:r w:rsidRPr="009A425B">
                <w:rPr>
                  <w:rFonts w:ascii="Times New Roman" w:hAnsi="Times New Roman" w:cs="Times New Roman"/>
                  <w:color w:val="000000"/>
                  <w:sz w:val="24"/>
                  <w:szCs w:val="24"/>
                </w:rPr>
                <w:t>чл. 63 от Регламент (ЕС) № 1305/2013</w:t>
              </w:r>
            </w:hyperlink>
            <w:r w:rsidRPr="009A425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8" w:history="1">
              <w:r w:rsidRPr="009A425B">
                <w:rPr>
                  <w:rFonts w:ascii="Times New Roman" w:hAnsi="Times New Roman" w:cs="Times New Roman"/>
                  <w:color w:val="000000"/>
                  <w:sz w:val="24"/>
                  <w:szCs w:val="24"/>
                </w:rPr>
                <w:t>Регламент (ЕО) № 1698/2005</w:t>
              </w:r>
            </w:hyperlink>
            <w:r w:rsidRPr="009A425B">
              <w:rPr>
                <w:rFonts w:ascii="Times New Roman" w:hAnsi="Times New Roman" w:cs="Times New Roman"/>
                <w:sz w:val="24"/>
                <w:szCs w:val="24"/>
              </w:rPr>
              <w:t xml:space="preserve"> на Съвета (ОВ, L 347/487 от 20 декември 2013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Административни проверки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Проверки съгласно условията и разпоредбите на </w:t>
            </w:r>
            <w:hyperlink r:id="rId9" w:history="1">
              <w:r w:rsidRPr="009A425B">
                <w:rPr>
                  <w:rFonts w:ascii="Times New Roman" w:hAnsi="Times New Roman" w:cs="Times New Roman"/>
                  <w:color w:val="000000"/>
                  <w:sz w:val="24"/>
                  <w:szCs w:val="24"/>
                </w:rPr>
                <w:t>чл. 48 от Регламент за изпълнение (ЕС) № 809/2014</w:t>
              </w:r>
              <w:r w:rsidRPr="009A425B">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9A425B">
                  <w:rPr>
                    <w:rFonts w:ascii="Times New Roman" w:hAnsi="Times New Roman" w:cs="Times New Roman"/>
                    <w:color w:val="000000"/>
                    <w:sz w:val="24"/>
                    <w:szCs w:val="24"/>
                  </w:rPr>
                  <w:t>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A425B">
                <w:rPr>
                  <w:rFonts w:ascii="Times New Roman" w:hAnsi="Times New Roman" w:cs="Times New Roman"/>
                  <w:color w:val="000000"/>
                  <w:sz w:val="24"/>
                  <w:szCs w:val="24"/>
                </w:rPr>
                <w:t>.</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Дейност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договор, споразумение или друг механизъм, избран съгласно </w:t>
            </w:r>
            <w:r w:rsidRPr="009A425B">
              <w:rPr>
                <w:rFonts w:ascii="Times New Roman" w:hAnsi="Times New Roman" w:cs="Times New Roman"/>
                <w:sz w:val="24"/>
                <w:szCs w:val="24"/>
              </w:rPr>
              <w:lastRenderedPageBreak/>
              <w:t>заложените в ПРСР 2014 – 2020 г. критерии, предвид постигането на поставените цели в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Изкуствено създадени условия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1"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Инвестиционен 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по смисъла на </w:t>
            </w:r>
            <w:hyperlink r:id="rId12"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3" w:history="1">
              <w:r w:rsidRPr="009A425B">
                <w:rPr>
                  <w:rFonts w:ascii="Times New Roman" w:hAnsi="Times New Roman" w:cs="Times New Roman"/>
                  <w:color w:val="000000"/>
                  <w:sz w:val="24"/>
                  <w:szCs w:val="24"/>
                </w:rPr>
                <w:t>Наредба №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Междинно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Плащане за обособена част от одобрената и извършена инвестиция.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Независими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 xml:space="preserve">Непредвидени </w:t>
            </w:r>
            <w:r w:rsidRPr="009A425B">
              <w:rPr>
                <w:rFonts w:ascii="Times New Roman" w:hAnsi="Times New Roman" w:cs="Times New Roman"/>
                <w:b/>
                <w:color w:val="000000"/>
                <w:sz w:val="24"/>
                <w:szCs w:val="24"/>
              </w:rPr>
              <w:lastRenderedPageBreak/>
              <w:t>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lastRenderedPageBreak/>
              <w:t xml:space="preserve">Разходи, възникнали в резултат на работи и/или обстоятелства, които не са могли да бъдат предвидени при първоначалното проектиране. </w:t>
            </w:r>
            <w:r w:rsidRPr="009A425B">
              <w:rPr>
                <w:rFonts w:ascii="Times New Roman" w:hAnsi="Times New Roman" w:cs="Times New Roman"/>
                <w:sz w:val="24"/>
                <w:szCs w:val="24"/>
              </w:rPr>
              <w:lastRenderedPageBreak/>
              <w:t xml:space="preserve">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9A425B">
                <w:rPr>
                  <w:rFonts w:ascii="Times New Roman" w:hAnsi="Times New Roman" w:cs="Times New Roman"/>
                  <w:color w:val="000000"/>
                  <w:sz w:val="24"/>
                  <w:szCs w:val="24"/>
                </w:rPr>
                <w:t>чл. 5</w:t>
              </w:r>
            </w:hyperlink>
            <w:r w:rsidRPr="009A425B">
              <w:rPr>
                <w:rFonts w:ascii="Times New Roman" w:hAnsi="Times New Roman" w:cs="Times New Roman"/>
                <w:sz w:val="24"/>
                <w:szCs w:val="24"/>
              </w:rPr>
              <w:t xml:space="preserve"> и </w:t>
            </w:r>
            <w:hyperlink r:id="rId15" w:history="1">
              <w:r w:rsidRPr="009A425B">
                <w:rPr>
                  <w:rFonts w:ascii="Times New Roman" w:hAnsi="Times New Roman" w:cs="Times New Roman"/>
                  <w:color w:val="000000"/>
                  <w:sz w:val="24"/>
                  <w:szCs w:val="24"/>
                </w:rPr>
                <w:t>6 от Закона за обществените поръчки</w:t>
              </w:r>
            </w:hyperlink>
            <w:r w:rsidRPr="009A425B">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6" w:history="1">
              <w:r w:rsidRPr="009A425B">
                <w:rPr>
                  <w:rFonts w:ascii="Times New Roman" w:hAnsi="Times New Roman" w:cs="Times New Roman"/>
                  <w:color w:val="000000"/>
                  <w:sz w:val="24"/>
                  <w:szCs w:val="24"/>
                </w:rPr>
                <w:t>Закона за обществените поръчки</w:t>
              </w:r>
            </w:hyperlink>
            <w:r w:rsidRPr="009A425B">
              <w:rPr>
                <w:rFonts w:ascii="Times New Roman" w:hAnsi="Times New Roman" w:cs="Times New Roman"/>
                <w:sz w:val="24"/>
                <w:szCs w:val="24"/>
              </w:rPr>
              <w:t xml:space="preserve"> в случаите, когато не са допуснати изключения.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Непреодолима сила или извънредни обстоятелства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Обстоятелства по смисъла на </w:t>
            </w:r>
            <w:hyperlink r:id="rId17" w:history="1">
              <w:r w:rsidRPr="009A425B">
                <w:rPr>
                  <w:rFonts w:ascii="Times New Roman" w:hAnsi="Times New Roman" w:cs="Times New Roman"/>
                  <w:color w:val="000000"/>
                  <w:sz w:val="24"/>
                  <w:szCs w:val="24"/>
                </w:rPr>
                <w:t>чл. 2, параграф 2 от Регламент (ЕС) № 1306/2013 г.</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Общински сгради</w:t>
            </w:r>
          </w:p>
        </w:tc>
        <w:tc>
          <w:tcPr>
            <w:tcW w:w="768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8"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Предоставяне на земя или друг недвижим имот, оборудване или суровини, проучване или професионална работа или неплатен </w:t>
            </w:r>
            <w:r w:rsidRPr="009A425B">
              <w:rPr>
                <w:rFonts w:ascii="Times New Roman" w:hAnsi="Times New Roman" w:cs="Times New Roman"/>
                <w:sz w:val="24"/>
                <w:szCs w:val="24"/>
              </w:rPr>
              <w:lastRenderedPageBreak/>
              <w:t>доброволен труд, за които не са правени плащания, подкрепени от фактура или друг еквивалентен на фактура платежен документ.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Проверка на място</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19"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Публична финансова помощ</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A425B">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lastRenderedPageBreak/>
              <w:t>Текущ ремонт</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засяга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Терен</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A35796" w:rsidRDefault="00A35796" w:rsidP="00A35796">
      <w:pPr>
        <w:rPr>
          <w:lang w:val="ru-RU"/>
        </w:rPr>
      </w:pPr>
    </w:p>
    <w:p w:rsidR="009A425B" w:rsidRDefault="009A425B" w:rsidP="00A35796">
      <w:pPr>
        <w:rPr>
          <w:lang w:val="ru-RU"/>
        </w:rPr>
      </w:pPr>
    </w:p>
    <w:p w:rsidR="009A425B" w:rsidRDefault="009A425B" w:rsidP="00A35796">
      <w:pPr>
        <w:rPr>
          <w:lang w:val="ru-RU"/>
        </w:rPr>
      </w:pPr>
    </w:p>
    <w:p w:rsidR="009A425B" w:rsidRDefault="009A425B" w:rsidP="00A35796">
      <w:pPr>
        <w:rPr>
          <w:lang w:val="ru-RU"/>
        </w:rPr>
      </w:pPr>
    </w:p>
    <w:p w:rsidR="009A425B" w:rsidRPr="002C5C02" w:rsidRDefault="009A425B" w:rsidP="00A35796">
      <w:pPr>
        <w:rPr>
          <w:lang w:val="ru-RU"/>
        </w:rPr>
      </w:pPr>
    </w:p>
    <w:p w:rsidR="00A35796" w:rsidRPr="00CC3223" w:rsidRDefault="00A35796" w:rsidP="00A35796">
      <w:pPr>
        <w:pStyle w:val="1"/>
        <w:spacing w:line="240" w:lineRule="auto"/>
        <w:rPr>
          <w:rFonts w:cs="Times New Roman"/>
          <w:sz w:val="22"/>
          <w:szCs w:val="22"/>
        </w:rPr>
      </w:pPr>
      <w:bookmarkStart w:id="4" w:name="_Toc526320274"/>
      <w:r w:rsidRPr="00CC3223">
        <w:rPr>
          <w:rFonts w:cs="Times New Roman"/>
          <w:sz w:val="22"/>
          <w:szCs w:val="22"/>
        </w:rPr>
        <w:t>1. Наименование на програмата:</w:t>
      </w:r>
      <w:bookmarkEnd w:id="4"/>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1"/>
        <w:spacing w:line="240" w:lineRule="auto"/>
        <w:rPr>
          <w:rFonts w:cs="Times New Roman"/>
          <w:sz w:val="22"/>
          <w:szCs w:val="22"/>
        </w:rPr>
      </w:pPr>
      <w:bookmarkStart w:id="5" w:name="_Toc526320275"/>
      <w:r w:rsidRPr="00CC3223">
        <w:rPr>
          <w:rFonts w:cs="Times New Roman"/>
          <w:sz w:val="22"/>
          <w:szCs w:val="22"/>
        </w:rPr>
        <w:lastRenderedPageBreak/>
        <w:t>2. Наименование на приоритетната ос:</w:t>
      </w:r>
      <w:bookmarkEnd w:id="5"/>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1"/>
        <w:spacing w:line="240" w:lineRule="auto"/>
        <w:rPr>
          <w:rFonts w:cs="Times New Roman"/>
          <w:sz w:val="22"/>
          <w:szCs w:val="22"/>
        </w:rPr>
      </w:pPr>
      <w:bookmarkStart w:id="6" w:name="_Toc526320276"/>
      <w:r w:rsidRPr="00F77B69">
        <w:rPr>
          <w:rFonts w:cs="Times New Roman"/>
          <w:sz w:val="22"/>
          <w:szCs w:val="22"/>
        </w:rPr>
        <w:t>3. Наименование на процедурата:</w:t>
      </w:r>
      <w:bookmarkEnd w:id="6"/>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w:t>
            </w:r>
          </w:p>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 xml:space="preserve">№ BG06RDNP001-19.128 </w:t>
            </w:r>
            <w:r w:rsidRPr="009A425B">
              <w:rPr>
                <w:rFonts w:ascii="Times New Roman" w:hAnsi="Times New Roman" w:cs="Times New Roman"/>
                <w:sz w:val="24"/>
                <w:szCs w:val="24"/>
              </w:rPr>
              <w:t xml:space="preserve">по </w:t>
            </w:r>
            <w:r w:rsidRPr="009A425B">
              <w:rPr>
                <w:rFonts w:ascii="Times New Roman" w:eastAsia="Times New Roman" w:hAnsi="Times New Roman" w:cs="Times New Roman"/>
                <w:bCs/>
                <w:sz w:val="24"/>
                <w:szCs w:val="24"/>
                <w:shd w:val="clear" w:color="auto" w:fill="FEFEFE"/>
                <w:lang w:eastAsia="bg-BG"/>
              </w:rPr>
              <w:t>под мярка 7.5 „Инвестиции за публично ползване в 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1"/>
        <w:spacing w:line="240" w:lineRule="auto"/>
        <w:rPr>
          <w:rFonts w:cs="Times New Roman"/>
          <w:sz w:val="22"/>
          <w:szCs w:val="22"/>
        </w:rPr>
      </w:pPr>
      <w:bookmarkStart w:id="7" w:name="_Toc526320277"/>
      <w:r w:rsidRPr="00CE6FF2">
        <w:rPr>
          <w:rFonts w:cs="Times New Roman"/>
          <w:sz w:val="22"/>
          <w:szCs w:val="22"/>
        </w:rPr>
        <w:t>4. Измерения по кодове:</w:t>
      </w:r>
      <w:bookmarkEnd w:id="7"/>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1"/>
        <w:spacing w:line="240" w:lineRule="auto"/>
        <w:rPr>
          <w:rFonts w:cs="Times New Roman"/>
          <w:sz w:val="22"/>
          <w:szCs w:val="22"/>
        </w:rPr>
      </w:pPr>
      <w:bookmarkStart w:id="8" w:name="_Toc526320278"/>
      <w:r w:rsidRPr="000364FA">
        <w:rPr>
          <w:rFonts w:cs="Times New Roman"/>
          <w:sz w:val="22"/>
          <w:szCs w:val="22"/>
        </w:rPr>
        <w:t>5. Териториален обхват:</w:t>
      </w:r>
      <w:bookmarkEnd w:id="8"/>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1A2C72"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Специални условия, свързани с об</w:t>
            </w:r>
            <w:r w:rsidR="001A2C72">
              <w:rPr>
                <w:rFonts w:ascii="Times New Roman" w:eastAsia="MS Mincho" w:hAnsi="Times New Roman" w:cs="Times New Roman"/>
                <w:sz w:val="24"/>
                <w:szCs w:val="24"/>
                <w:lang w:eastAsia="sr-Cyrl-CS"/>
              </w:rPr>
              <w:t>хвата на мярката.</w:t>
            </w:r>
            <w:r w:rsidRPr="001D5DA0">
              <w:rPr>
                <w:rFonts w:ascii="Times New Roman" w:eastAsia="MS Mincho" w:hAnsi="Times New Roman" w:cs="Times New Roman"/>
                <w:sz w:val="24"/>
                <w:szCs w:val="24"/>
                <w:lang w:eastAsia="sr-Cyrl-CS"/>
              </w:rPr>
              <w:t xml:space="preserve"> </w:t>
            </w:r>
          </w:p>
          <w:p w:rsid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Проектите се подпомагат, ако:</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1A2C72" w:rsidRDefault="001D5DA0" w:rsidP="001A2C72">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tc>
      </w:tr>
    </w:tbl>
    <w:p w:rsidR="00A35796" w:rsidRPr="007F43AD" w:rsidRDefault="00A35796" w:rsidP="00A35796">
      <w:pPr>
        <w:pStyle w:val="1"/>
        <w:jc w:val="both"/>
        <w:rPr>
          <w:rFonts w:cs="Times New Roman"/>
          <w:sz w:val="22"/>
          <w:szCs w:val="22"/>
        </w:rPr>
      </w:pPr>
      <w:bookmarkStart w:id="9"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9"/>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1"/>
        <w:rPr>
          <w:rFonts w:cs="Times New Roman"/>
          <w:sz w:val="22"/>
          <w:szCs w:val="22"/>
        </w:rPr>
      </w:pPr>
      <w:bookmarkStart w:id="10" w:name="_Toc526320280"/>
      <w:r w:rsidRPr="007F43AD">
        <w:rPr>
          <w:rFonts w:cs="Times New Roman"/>
          <w:sz w:val="22"/>
          <w:szCs w:val="22"/>
        </w:rPr>
        <w:t xml:space="preserve">7. </w:t>
      </w:r>
      <w:r w:rsidRPr="00164134">
        <w:rPr>
          <w:rFonts w:cs="Times New Roman"/>
          <w:sz w:val="22"/>
          <w:szCs w:val="22"/>
        </w:rPr>
        <w:t>Индикатори:</w:t>
      </w:r>
      <w:bookmarkEnd w:id="10"/>
    </w:p>
    <w:tbl>
      <w:tblPr>
        <w:tblStyle w:val="a9"/>
        <w:tblW w:w="9634" w:type="dxa"/>
        <w:tblLook w:val="04A0" w:firstRow="1" w:lastRow="0" w:firstColumn="1" w:lastColumn="0" w:noHBand="0" w:noVBand="1"/>
      </w:tblPr>
      <w:tblGrid>
        <w:gridCol w:w="9901"/>
      </w:tblGrid>
      <w:tr w:rsidR="009A425B" w:rsidTr="009A425B">
        <w:tc>
          <w:tcPr>
            <w:tcW w:w="9634" w:type="dxa"/>
          </w:tcPr>
          <w:p w:rsidR="009A425B" w:rsidRDefault="009A425B" w:rsidP="009A425B"/>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6"/>
              <w:gridCol w:w="3671"/>
              <w:gridCol w:w="1055"/>
              <w:gridCol w:w="876"/>
              <w:gridCol w:w="2977"/>
            </w:tblGrid>
            <w:tr w:rsidR="009A425B" w:rsidRPr="002227B9" w:rsidTr="00B3000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B3000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B3000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B3000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 xml:space="preserve">Дял от населението на територията, което се ползва от подобрената </w:t>
                  </w:r>
                  <w:r w:rsidRPr="002227B9">
                    <w:rPr>
                      <w:rFonts w:ascii="Times New Roman" w:hAnsi="Times New Roman" w:cs="Times New Roman"/>
                    </w:rPr>
                    <w:lastRenderedPageBreak/>
                    <w:t xml:space="preserve">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lastRenderedPageBreak/>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Default="009A425B" w:rsidP="009A425B"/>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Проектните предложения по настоящите Условия за кандидатстване следва да допринасят за постигането на следните показатели:</w:t>
            </w:r>
          </w:p>
          <w:p w:rsidR="009A425B" w:rsidRPr="009A425B" w:rsidRDefault="009A425B" w:rsidP="009A425B">
            <w:pPr>
              <w:jc w:val="both"/>
              <w:rPr>
                <w:rFonts w:ascii="Times New Roman" w:hAnsi="Times New Roman" w:cs="Times New Roman"/>
                <w:sz w:val="24"/>
                <w:szCs w:val="24"/>
              </w:rPr>
            </w:pPr>
          </w:p>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9A425B" w:rsidRPr="001A2C72" w:rsidRDefault="009A425B" w:rsidP="009A425B">
            <w:pPr>
              <w:jc w:val="both"/>
              <w:rPr>
                <w:rFonts w:ascii="Times New Roman" w:hAnsi="Times New Roman" w:cs="Times New Roman"/>
                <w:b/>
                <w:sz w:val="24"/>
                <w:szCs w:val="24"/>
              </w:rPr>
            </w:pPr>
            <w:r w:rsidRPr="009A425B">
              <w:rPr>
                <w:rFonts w:ascii="Times New Roman" w:hAnsi="Times New Roman" w:cs="Times New Roman"/>
                <w:b/>
                <w:sz w:val="24"/>
                <w:szCs w:val="24"/>
              </w:rPr>
              <w:t xml:space="preserve">Внимание! Кандидата попълва само индикатори за резултат! </w:t>
            </w:r>
          </w:p>
        </w:tc>
      </w:tr>
    </w:tbl>
    <w:p w:rsidR="00A35796" w:rsidRDefault="00A35796" w:rsidP="00A35796">
      <w:pPr>
        <w:pStyle w:val="1"/>
      </w:pPr>
      <w:bookmarkStart w:id="11" w:name="_Toc526320281"/>
      <w:r>
        <w:lastRenderedPageBreak/>
        <w:t>8. Общ размер на безвъзмездната финансова помощ по процедурата</w:t>
      </w:r>
      <w:r w:rsidRPr="00F74842">
        <w:t>:</w:t>
      </w:r>
      <w:bookmarkEnd w:id="11"/>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53 000    лв.</w:t>
            </w:r>
          </w:p>
          <w:p w:rsidR="00A35796" w:rsidRPr="002014C5"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47 700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5 300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(10 %)</w:t>
            </w:r>
          </w:p>
        </w:tc>
      </w:tr>
    </w:tbl>
    <w:p w:rsidR="00A35796" w:rsidRDefault="00A35796" w:rsidP="00A35796">
      <w:pPr>
        <w:pStyle w:val="1"/>
        <w:jc w:val="both"/>
      </w:pPr>
      <w:bookmarkStart w:id="12"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2"/>
    </w:p>
    <w:tbl>
      <w:tblPr>
        <w:tblStyle w:val="a9"/>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3" w:name="to_paragraph_id30997643"/>
            <w:bookmarkEnd w:id="13"/>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F40858"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A35796" w:rsidRDefault="00A35796" w:rsidP="00B30004">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9A425B" w:rsidRDefault="009A425B" w:rsidP="00B30004">
            <w:pPr>
              <w:shd w:val="clear" w:color="auto" w:fill="FFFFFF"/>
              <w:spacing w:line="75" w:lineRule="atLeast"/>
              <w:rPr>
                <w:rFonts w:ascii="Times New Roman" w:eastAsiaTheme="majorEastAsia" w:hAnsi="Times New Roman" w:cstheme="majorBidi"/>
                <w:b/>
                <w:bCs/>
                <w:sz w:val="24"/>
                <w:szCs w:val="28"/>
              </w:rPr>
            </w:pPr>
            <w:r w:rsidRPr="009A425B">
              <w:rPr>
                <w:rFonts w:ascii="Times New Roman" w:eastAsiaTheme="majorEastAsia" w:hAnsi="Times New Roman" w:cstheme="majorBidi"/>
                <w:b/>
                <w:bCs/>
                <w:sz w:val="24"/>
                <w:szCs w:val="28"/>
              </w:rPr>
              <w:t>2. Минимален и максимален размер на допустимите разходи</w:t>
            </w:r>
            <w:r w:rsidR="001F7FF7">
              <w:rPr>
                <w:rFonts w:ascii="Times New Roman" w:eastAsiaTheme="majorEastAsia" w:hAnsi="Times New Roman" w:cstheme="majorBidi"/>
                <w:b/>
                <w:bCs/>
                <w:sz w:val="24"/>
                <w:szCs w:val="28"/>
              </w:rPr>
              <w:t xml:space="preserve"> за един проект</w:t>
            </w:r>
          </w:p>
          <w:p w:rsidR="009A425B" w:rsidRPr="00F40858" w:rsidRDefault="009A425B" w:rsidP="009A425B">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10 000,00 лева</w:t>
            </w:r>
          </w:p>
          <w:p w:rsidR="00A35796" w:rsidRPr="009A425B" w:rsidRDefault="009A425B" w:rsidP="009A425B">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lastRenderedPageBreak/>
              <w:t xml:space="preserve">Максимален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53 000,00 лева</w:t>
            </w:r>
          </w:p>
        </w:tc>
      </w:tr>
    </w:tbl>
    <w:p w:rsidR="00A35796" w:rsidRDefault="00A35796" w:rsidP="00A35796">
      <w:pPr>
        <w:pStyle w:val="1"/>
      </w:pPr>
      <w:bookmarkStart w:id="14" w:name="_Toc526320283"/>
      <w:r>
        <w:lastRenderedPageBreak/>
        <w:t>10. Процент на съфинансиране</w:t>
      </w:r>
      <w:r w:rsidRPr="00F74842">
        <w:t>:</w:t>
      </w:r>
      <w:bookmarkEnd w:id="14"/>
    </w:p>
    <w:tbl>
      <w:tblPr>
        <w:tblStyle w:val="a9"/>
        <w:tblW w:w="9918" w:type="dxa"/>
        <w:tblLook w:val="04A0" w:firstRow="1" w:lastRow="0" w:firstColumn="1" w:lastColumn="0" w:noHBand="0" w:noVBand="1"/>
      </w:tblPr>
      <w:tblGrid>
        <w:gridCol w:w="9918"/>
      </w:tblGrid>
      <w:tr w:rsidR="00A35796" w:rsidRPr="009A425B" w:rsidTr="00297417">
        <w:tc>
          <w:tcPr>
            <w:tcW w:w="991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tc>
      </w:tr>
    </w:tbl>
    <w:p w:rsidR="00A35796" w:rsidRDefault="00A35796" w:rsidP="00A35796">
      <w:pPr>
        <w:pStyle w:val="1"/>
      </w:pPr>
      <w:bookmarkStart w:id="15" w:name="_Toc526320284"/>
      <w:r>
        <w:t>11. Допустими кандидати</w:t>
      </w:r>
      <w:r w:rsidRPr="00F74842">
        <w:t>:</w:t>
      </w:r>
      <w:bookmarkEnd w:id="15"/>
    </w:p>
    <w:tbl>
      <w:tblPr>
        <w:tblStyle w:val="a9"/>
        <w:tblW w:w="9918" w:type="dxa"/>
        <w:tblLook w:val="04A0" w:firstRow="1" w:lastRow="0" w:firstColumn="1" w:lastColumn="0" w:noHBand="0" w:noVBand="1"/>
      </w:tblPr>
      <w:tblGrid>
        <w:gridCol w:w="9918"/>
      </w:tblGrid>
      <w:tr w:rsidR="00A35796" w:rsidRPr="00297417" w:rsidTr="00297417">
        <w:tc>
          <w:tcPr>
            <w:tcW w:w="9918" w:type="dxa"/>
          </w:tcPr>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Община Чирпан;</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Юридически лица с нестопанска цел (ЮЛНЦ), регистрирани по Закона за юридическите лица с нестопанска цел, със седалище на територията на МИГ;</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Читалища на територията на МИГ, регистрирани по Закона за народните читалища</w:t>
            </w:r>
          </w:p>
          <w:p w:rsidR="00A35796" w:rsidRPr="001D5DA0" w:rsidRDefault="00A35796" w:rsidP="00B30004">
            <w:pPr>
              <w:jc w:val="both"/>
              <w:rPr>
                <w:sz w:val="24"/>
                <w:szCs w:val="24"/>
                <w:lang w:val="ru-RU"/>
              </w:rPr>
            </w:pPr>
            <w:r w:rsidRPr="00297417">
              <w:rPr>
                <w:rFonts w:ascii="Times New Roman" w:hAnsi="Times New Roman" w:cs="Times New Roman"/>
                <w:b/>
                <w:sz w:val="24"/>
                <w:szCs w:val="24"/>
              </w:rPr>
              <w:t>ВАЖНО!!</w:t>
            </w:r>
            <w:r w:rsidRPr="001D5DA0">
              <w:rPr>
                <w:rFonts w:ascii="Times New Roman" w:hAnsi="Times New Roman" w:cs="Times New Roman"/>
                <w:b/>
                <w:sz w:val="24"/>
                <w:szCs w:val="24"/>
                <w:lang w:val="ru-RU"/>
              </w:rPr>
              <w:t>!</w:t>
            </w:r>
            <w:r w:rsidRPr="00297417">
              <w:rPr>
                <w:rFonts w:ascii="Times New Roman" w:hAnsi="Times New Roman" w:cs="Times New Roman"/>
                <w:b/>
                <w:sz w:val="24"/>
                <w:szCs w:val="24"/>
              </w:rPr>
              <w:t xml:space="preserve"> Настоящият прием на проектни предложения  се отнася само за допустими  бенефициенти, за които МИГ определи финансово подпомагане като „непомощ“ в съотстветсвие с приложимия режим </w:t>
            </w:r>
            <w:r w:rsidRPr="00297417">
              <w:rPr>
                <w:sz w:val="24"/>
                <w:szCs w:val="24"/>
              </w:rPr>
              <w:t xml:space="preserve"> </w:t>
            </w:r>
            <w:r w:rsidRPr="00297417">
              <w:rPr>
                <w:rFonts w:ascii="Times New Roman" w:hAnsi="Times New Roman" w:cs="Times New Roman"/>
                <w:b/>
                <w:sz w:val="24"/>
                <w:szCs w:val="24"/>
              </w:rPr>
              <w:t>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r w:rsidRPr="001D5DA0">
              <w:rPr>
                <w:rFonts w:ascii="Times New Roman" w:hAnsi="Times New Roman" w:cs="Times New Roman"/>
                <w:b/>
                <w:sz w:val="24"/>
                <w:szCs w:val="24"/>
                <w:lang w:val="ru-RU"/>
              </w:rPr>
              <w:t>.</w:t>
            </w: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a9"/>
        <w:tblW w:w="9918" w:type="dxa"/>
        <w:tblLook w:val="04A0" w:firstRow="1" w:lastRow="0" w:firstColumn="1" w:lastColumn="0" w:noHBand="0" w:noVBand="1"/>
      </w:tblPr>
      <w:tblGrid>
        <w:gridCol w:w="9918"/>
      </w:tblGrid>
      <w:tr w:rsidR="00A35796" w:rsidRPr="00556E07" w:rsidTr="00297417">
        <w:tc>
          <w:tcPr>
            <w:tcW w:w="9918" w:type="dxa"/>
          </w:tcPr>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Кандидатите трябва да отговарят на условията  :</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35796" w:rsidRPr="002746C9" w:rsidRDefault="00A35796" w:rsidP="00B30004">
            <w:pPr>
              <w:jc w:val="both"/>
              <w:rPr>
                <w:rFonts w:ascii="Times New Roman" w:eastAsia="SimSun" w:hAnsi="Times New Roman" w:cs="Times New Roman"/>
                <w:b/>
                <w:sz w:val="24"/>
                <w:szCs w:val="24"/>
                <w:lang w:eastAsia="zh-CN"/>
              </w:rPr>
            </w:pPr>
            <w:r w:rsidRPr="002746C9">
              <w:rPr>
                <w:rFonts w:ascii="Times New Roman" w:eastAsia="SimSun" w:hAnsi="Times New Roman" w:cs="Times New Roman"/>
                <w:sz w:val="24"/>
                <w:szCs w:val="24"/>
                <w:lang w:eastAsia="zh-CN"/>
              </w:rPr>
              <w:lastRenderedPageBreak/>
              <w:t xml:space="preserve">3. Кандидатът/получателят на помощта и/или негов законен или упълномощен представител </w:t>
            </w:r>
            <w:r w:rsidRPr="002746C9">
              <w:rPr>
                <w:rFonts w:ascii="Times New Roman" w:eastAsia="SimSun" w:hAnsi="Times New Roman" w:cs="Times New Roman"/>
                <w:b/>
                <w:sz w:val="24"/>
                <w:szCs w:val="24"/>
                <w:lang w:eastAsia="zh-CN"/>
              </w:rPr>
              <w:t xml:space="preserve">трябва да отговаря на следните условия: </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3.2</w:t>
            </w:r>
            <w:r w:rsidRPr="002746C9">
              <w:rPr>
                <w:rFonts w:ascii="Times New Roman" w:eastAsia="SimSun" w:hAnsi="Times New Roman" w:cs="Times New Roman"/>
                <w:sz w:val="24"/>
                <w:szCs w:val="24"/>
                <w:lang w:eastAsia="zh-CN"/>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w:t>
            </w:r>
            <w:r w:rsidRPr="002746C9">
              <w:rPr>
                <w:rFonts w:ascii="Times New Roman" w:eastAsia="SimSun" w:hAnsi="Times New Roman" w:cs="Times New Roman"/>
                <w:sz w:val="24"/>
                <w:szCs w:val="24"/>
                <w:lang w:eastAsia="zh-CN"/>
              </w:rPr>
              <w:lastRenderedPageBreak/>
              <w:t>помощ, чрез предоставяне на невярна или заблуждаваща информация;</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12. няма изискуеми и ликвидни задължения към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 xml:space="preserve">14. не е свързано лице по смисъла на § 1, т. 1 от допълнителните разпоредби на Закона за </w:t>
            </w:r>
            <w:r w:rsidRPr="002746C9">
              <w:rPr>
                <w:rFonts w:ascii="Times New Roman" w:eastAsia="SimSun" w:hAnsi="Times New Roman" w:cs="Times New Roman"/>
                <w:sz w:val="24"/>
                <w:szCs w:val="24"/>
                <w:lang w:eastAsia="zh-CN"/>
              </w:rPr>
              <w:lastRenderedPageBreak/>
              <w:t>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16. не е осъден с влязла в сила присъда, освен ако е реабилитиран, за:</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подкуп по чл. 301 - 307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е) престъпление по чл. 108а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ж) престъпление по чл. 159а - 159г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з) престъпление по чл. 172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и) престъпление по чл. 192а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й) престъпление по чл. 352 - 353е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A35796" w:rsidRPr="00017E35" w:rsidRDefault="00A35796" w:rsidP="00A35796">
      <w:pPr>
        <w:pStyle w:val="1"/>
        <w:rPr>
          <w:szCs w:val="24"/>
        </w:rPr>
      </w:pPr>
      <w:bookmarkStart w:id="16" w:name="_Toc526320285"/>
      <w:r w:rsidRPr="00017E35">
        <w:rPr>
          <w:szCs w:val="24"/>
        </w:rPr>
        <w:lastRenderedPageBreak/>
        <w:t>11.2 Критерии за недопустимост на кандидатите:</w:t>
      </w:r>
      <w:bookmarkEnd w:id="16"/>
    </w:p>
    <w:tbl>
      <w:tblPr>
        <w:tblStyle w:val="a9"/>
        <w:tblW w:w="9918" w:type="dxa"/>
        <w:tblLook w:val="04A0" w:firstRow="1" w:lastRow="0" w:firstColumn="1" w:lastColumn="0" w:noHBand="0" w:noVBand="1"/>
      </w:tblPr>
      <w:tblGrid>
        <w:gridCol w:w="9918"/>
      </w:tblGrid>
      <w:tr w:rsidR="00A35796" w:rsidRPr="002746C9" w:rsidTr="002746C9">
        <w:tc>
          <w:tcPr>
            <w:tcW w:w="9918" w:type="dxa"/>
          </w:tcPr>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A35796" w:rsidRPr="002746C9" w:rsidRDefault="00A35796" w:rsidP="00B30004">
            <w:pPr>
              <w:widowControl w:val="0"/>
              <w:autoSpaceDE w:val="0"/>
              <w:autoSpaceDN w:val="0"/>
              <w:adjustRightInd w:val="0"/>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1.1. </w:t>
            </w:r>
            <w:r w:rsidRPr="002746C9">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w:t>
            </w:r>
            <w:r w:rsidR="005B0202">
              <w:rPr>
                <w:rFonts w:ascii="Times New Roman" w:hAnsi="Times New Roman" w:cs="Times New Roman"/>
                <w:sz w:val="24"/>
                <w:szCs w:val="24"/>
              </w:rPr>
              <w:t xml:space="preserve">                                                                                     </w:t>
            </w:r>
            <w:r w:rsidRPr="002746C9">
              <w:rPr>
                <w:rFonts w:ascii="Times New Roman" w:hAnsi="Times New Roman" w:cs="Times New Roman"/>
                <w:sz w:val="24"/>
                <w:szCs w:val="24"/>
              </w:rPr>
              <w:t>чл. 253 - 260, чл. 301 - 307, чл. 321, 321а и чл. 352 - 353е от Наказателния кодекс;</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1.4. е установено, че: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A35796" w:rsidRPr="002746C9" w:rsidRDefault="00A35796" w:rsidP="00B30004">
            <w:pPr>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2746C9">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hAnsi="Times New Roman" w:cs="Times New Roman"/>
                <w:sz w:val="24"/>
                <w:szCs w:val="24"/>
              </w:rPr>
              <w:t>1.6. е налице конфликт на интереси, който не може да бъде отстранен;</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1.7. не са изпълнили разпореждане на Европейската комисия за възстановяване на </w:t>
            </w:r>
            <w:r w:rsidRPr="002746C9">
              <w:rPr>
                <w:rFonts w:ascii="Times New Roman" w:eastAsia="Times New Roman" w:hAnsi="Times New Roman" w:cs="Times New Roman"/>
                <w:color w:val="000000"/>
                <w:sz w:val="24"/>
                <w:szCs w:val="24"/>
                <w:lang w:eastAsia="bg-BG"/>
              </w:rPr>
              <w:lastRenderedPageBreak/>
              <w:t>представената им неправомерна и несъвместима държавна помощ;</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 лицата, които представляват кандидата:</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2746C9">
              <w:rPr>
                <w:rFonts w:ascii="Times New Roman" w:eastAsia="Times New Roman" w:hAnsi="Times New Roman" w:cs="Times New Roman"/>
                <w:sz w:val="24"/>
                <w:szCs w:val="24"/>
                <w:lang w:eastAsia="bg-BG"/>
              </w:rPr>
              <w:t xml:space="preserve">Приложение № 3 </w:t>
            </w:r>
            <w:r w:rsidRPr="002746C9">
              <w:rPr>
                <w:rFonts w:ascii="Times New Roman" w:eastAsia="Times New Roman" w:hAnsi="Times New Roman" w:cs="Times New Roman"/>
                <w:color w:val="000000"/>
                <w:sz w:val="24"/>
                <w:szCs w:val="24"/>
                <w:lang w:eastAsia="bg-BG"/>
              </w:rPr>
              <w:t>от настоящите Условия за кандидатстване.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3. </w:t>
            </w:r>
            <w:r w:rsidRPr="002746C9">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2746C9">
              <w:rPr>
                <w:rFonts w:ascii="Times New Roman" w:hAnsi="Times New Roman" w:cs="Times New Roman"/>
                <w:sz w:val="24"/>
                <w:szCs w:val="24"/>
                <w:bdr w:val="none" w:sz="0" w:space="0" w:color="auto" w:frame="1"/>
                <w:shd w:val="clear" w:color="auto" w:fill="FFFFFF"/>
              </w:rPr>
              <w:t>изкуствено</w:t>
            </w:r>
            <w:r w:rsidRPr="002746C9">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A35796" w:rsidRPr="002746C9" w:rsidRDefault="00A35796" w:rsidP="00B30004">
            <w:pPr>
              <w:rPr>
                <w:sz w:val="24"/>
                <w:szCs w:val="24"/>
              </w:rPr>
            </w:pPr>
          </w:p>
        </w:tc>
      </w:tr>
    </w:tbl>
    <w:p w:rsidR="00A35796" w:rsidRPr="00017E35" w:rsidRDefault="00A35796" w:rsidP="00A35796">
      <w:pPr>
        <w:pStyle w:val="1"/>
        <w:rPr>
          <w:szCs w:val="24"/>
        </w:rPr>
      </w:pPr>
      <w:bookmarkStart w:id="17" w:name="_Toc526320286"/>
      <w:r w:rsidRPr="00017E35">
        <w:rPr>
          <w:szCs w:val="24"/>
        </w:rPr>
        <w:lastRenderedPageBreak/>
        <w:t>12. Допустими партньори:</w:t>
      </w:r>
      <w:bookmarkEnd w:id="17"/>
    </w:p>
    <w:tbl>
      <w:tblPr>
        <w:tblStyle w:val="a9"/>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1"/>
        <w:rPr>
          <w:szCs w:val="24"/>
        </w:rPr>
      </w:pPr>
      <w:bookmarkStart w:id="18" w:name="_Toc526320287"/>
      <w:r w:rsidRPr="00017E35">
        <w:rPr>
          <w:szCs w:val="24"/>
        </w:rPr>
        <w:lastRenderedPageBreak/>
        <w:t>13. Дейности, допустими за финансиране:</w:t>
      </w:r>
      <w:bookmarkEnd w:id="18"/>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B30004">
            <w:pPr>
              <w:keepNext/>
              <w:keepLines/>
              <w:contextualSpacing/>
              <w:jc w:val="both"/>
              <w:rPr>
                <w:rFonts w:ascii="Times New Roman" w:hAnsi="Times New Roman" w:cs="Times New Roman"/>
                <w:b/>
                <w:sz w:val="24"/>
                <w:szCs w:val="24"/>
              </w:rPr>
            </w:pPr>
            <w:r w:rsidRPr="001D5DA0">
              <w:rPr>
                <w:rFonts w:ascii="Times New Roman" w:hAnsi="Times New Roman" w:cs="Times New Roman"/>
                <w:b/>
                <w:sz w:val="24"/>
                <w:szCs w:val="24"/>
                <w:lang w:val="ru-RU"/>
              </w:rPr>
              <w:t xml:space="preserve">  </w:t>
            </w:r>
            <w:r w:rsidRPr="00017E35">
              <w:rPr>
                <w:rFonts w:ascii="Times New Roman" w:hAnsi="Times New Roman" w:cs="Times New Roman"/>
                <w:b/>
                <w:sz w:val="24"/>
                <w:szCs w:val="24"/>
              </w:rPr>
              <w:t>ВАЖНО!!!</w:t>
            </w:r>
          </w:p>
          <w:p w:rsidR="00A35796" w:rsidRPr="00017E35" w:rsidRDefault="00A35796" w:rsidP="00B30004">
            <w:pPr>
              <w:keepNext/>
              <w:keepLines/>
              <w:contextualSpacing/>
              <w:jc w:val="both"/>
              <w:rPr>
                <w:rFonts w:ascii="Times New Roman" w:hAnsi="Times New Roman" w:cs="Times New Roman"/>
                <w:b/>
                <w:sz w:val="24"/>
                <w:szCs w:val="24"/>
              </w:rPr>
            </w:pPr>
            <w:r w:rsidRPr="00017E35">
              <w:rPr>
                <w:rFonts w:ascii="Times New Roman" w:hAnsi="Times New Roman" w:cs="Times New Roman"/>
                <w:b/>
                <w:sz w:val="24"/>
                <w:szCs w:val="24"/>
              </w:rPr>
              <w:t>Настоящият прием на проектни предложения  се отнася само за допустими дейности, за които МИГ определи финансово под</w:t>
            </w:r>
            <w:r w:rsidR="00017E35">
              <w:rPr>
                <w:rFonts w:ascii="Times New Roman" w:hAnsi="Times New Roman" w:cs="Times New Roman"/>
                <w:b/>
                <w:sz w:val="24"/>
                <w:szCs w:val="24"/>
              </w:rPr>
              <w:t>помагане като „непомощ“ в съот</w:t>
            </w:r>
            <w:r w:rsidRPr="00017E35">
              <w:rPr>
                <w:rFonts w:ascii="Times New Roman" w:hAnsi="Times New Roman" w:cs="Times New Roman"/>
                <w:b/>
                <w:sz w:val="24"/>
                <w:szCs w:val="24"/>
              </w:rPr>
              <w:t>ветс</w:t>
            </w:r>
            <w:r w:rsidR="00017E35">
              <w:rPr>
                <w:rFonts w:ascii="Times New Roman" w:hAnsi="Times New Roman" w:cs="Times New Roman"/>
                <w:b/>
                <w:sz w:val="24"/>
                <w:szCs w:val="24"/>
              </w:rPr>
              <w:t>т</w:t>
            </w:r>
            <w:r w:rsidRPr="00017E35">
              <w:rPr>
                <w:rFonts w:ascii="Times New Roman" w:hAnsi="Times New Roman" w:cs="Times New Roman"/>
                <w:b/>
                <w:sz w:val="24"/>
                <w:szCs w:val="24"/>
              </w:rPr>
              <w:t>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p w:rsidR="00A35796" w:rsidRPr="00017E35" w:rsidRDefault="00A35796" w:rsidP="00B30004">
            <w:pPr>
              <w:keepNext/>
              <w:keepLines/>
              <w:contextualSpacing/>
              <w:jc w:val="both"/>
              <w:rPr>
                <w:rFonts w:ascii="Times New Roman" w:hAnsi="Times New Roman" w:cs="Times New Roman"/>
                <w:sz w:val="24"/>
                <w:szCs w:val="24"/>
              </w:rPr>
            </w:pP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.Общи изисквания към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2.2.дейностите,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2.3Подпомагат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017E35">
              <w:rPr>
                <w:rFonts w:ascii="Times New Roman" w:hAnsi="Times New Roman" w:cs="Times New Roman"/>
                <w:sz w:val="24"/>
                <w:szCs w:val="24"/>
              </w:rPr>
              <w:t>и устойчивостта</w:t>
            </w:r>
            <w:r w:rsidRPr="00017E35">
              <w:rPr>
                <w:rFonts w:ascii="Times New Roman" w:eastAsia="Times New Roman" w:hAnsi="Times New Roman" w:cs="Times New Roman"/>
                <w:color w:val="000000"/>
                <w:sz w:val="24"/>
                <w:szCs w:val="24"/>
                <w:lang w:eastAsia="bg-BG"/>
              </w:rPr>
              <w:t xml:space="preserve"> на инвестицията/за кандидат община/ съгласно </w:t>
            </w:r>
            <w:r w:rsidRPr="00017E35">
              <w:rPr>
                <w:rFonts w:ascii="Times New Roman" w:eastAsia="Times New Roman" w:hAnsi="Times New Roman" w:cs="Times New Roman"/>
                <w:sz w:val="24"/>
                <w:szCs w:val="24"/>
                <w:lang w:eastAsia="bg-BG"/>
              </w:rPr>
              <w:t>Приложение № 1</w:t>
            </w:r>
            <w:r w:rsidR="00B8165A">
              <w:rPr>
                <w:rFonts w:ascii="Times New Roman" w:eastAsia="Times New Roman" w:hAnsi="Times New Roman" w:cs="Times New Roman"/>
                <w:sz w:val="24"/>
                <w:szCs w:val="24"/>
                <w:lang w:eastAsia="bg-BG"/>
              </w:rPr>
              <w:t>0</w:t>
            </w:r>
            <w:r w:rsidRPr="00017E35">
              <w:rPr>
                <w:rFonts w:ascii="Times New Roman" w:eastAsia="Times New Roman" w:hAnsi="Times New Roman" w:cs="Times New Roman"/>
                <w:sz w:val="24"/>
                <w:szCs w:val="24"/>
                <w:lang w:eastAsia="bg-BG"/>
              </w:rPr>
              <w:t xml:space="preserve">. </w:t>
            </w: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5</w:t>
            </w:r>
            <w:r w:rsidRPr="00017E35">
              <w:rPr>
                <w:rFonts w:ascii="Times New Roman" w:eastAsia="Times New Roman" w:hAnsi="Times New Roman" w:cs="Times New Roman"/>
                <w:sz w:val="24"/>
                <w:szCs w:val="24"/>
                <w:lang w:eastAsia="bg-BG"/>
              </w:rPr>
              <w:t xml:space="preserve">. </w:t>
            </w:r>
            <w:r w:rsidRPr="00017E35">
              <w:rPr>
                <w:rFonts w:ascii="Times New Roman" w:hAnsi="Times New Roman" w:cs="Times New Roman"/>
                <w:sz w:val="24"/>
                <w:szCs w:val="24"/>
              </w:rPr>
              <w:t>Проектите се изпълняват върху имот – собственост на кандидата или  в случай ползване и/или наем, документ за ползване за  срок от 6 години.</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6. Към проектите, включващи разходи за строително-монтажни работи,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б)</w:t>
            </w:r>
            <w:r w:rsidRPr="00017E35">
              <w:rPr>
                <w:sz w:val="24"/>
                <w:szCs w:val="24"/>
              </w:rPr>
              <w:t xml:space="preserve"> </w:t>
            </w:r>
            <w:r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в) подробни количествени сметки, които са заверени от правоспособно лице;</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г) разрешение за строеж, когато издаването му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е) подробни количествено-стойностни сметки.</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 xml:space="preserve">7. Проектите, които включват разходи за преместваеми обекти и елементи на градското </w:t>
            </w:r>
            <w:r w:rsidRPr="00017E35">
              <w:rPr>
                <w:rFonts w:ascii="Times New Roman" w:hAnsi="Times New Roman" w:cs="Times New Roman"/>
                <w:sz w:val="24"/>
                <w:szCs w:val="24"/>
              </w:rPr>
              <w:lastRenderedPageBreak/>
              <w:t>обзавеждане, се придружават с разрешение за поставяне, издадено в съответствие със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документите по т. 6, букви „б”, „в”, „г”, „е“;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б)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в) одобрен инвестиционен проект в съответствие с изискванията на ЗУТ и Наредба № 4 от 2001 г. за обхвата и съдържанието на инвестиционните проекти;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г) подробни количествени сметки за предвидените строително-монтажни работи, заверени от правоспособно лице;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д) влязло в сила разрешение за строеж, съгласно Закона за устройство на територията;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е)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 xml:space="preserve">9. </w:t>
            </w:r>
            <w:r w:rsidRPr="00017E35">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10. </w:t>
            </w:r>
            <w:r w:rsidRPr="00017E35">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widowControl w:val="0"/>
              <w:autoSpaceDE w:val="0"/>
              <w:autoSpaceDN w:val="0"/>
              <w:adjustRightInd w:val="0"/>
              <w:jc w:val="both"/>
              <w:rPr>
                <w:rFonts w:ascii="Times New Roman" w:hAnsi="Times New Roman" w:cs="Times New Roman"/>
                <w:b/>
                <w:sz w:val="24"/>
                <w:szCs w:val="24"/>
              </w:rPr>
            </w:pPr>
            <w:r w:rsidRPr="00017E35">
              <w:rPr>
                <w:rFonts w:ascii="Times New Roman" w:hAnsi="Times New Roman" w:cs="Times New Roman"/>
                <w:b/>
                <w:sz w:val="24"/>
                <w:szCs w:val="24"/>
                <w:lang w:val="en-US"/>
              </w:rPr>
              <w:t>II</w:t>
            </w:r>
            <w:r w:rsidRPr="00017E35">
              <w:rPr>
                <w:rFonts w:ascii="Times New Roman" w:hAnsi="Times New Roman" w:cs="Times New Roman"/>
                <w:b/>
                <w:sz w:val="24"/>
                <w:szCs w:val="24"/>
              </w:rPr>
              <w:t>.Специални изисквания: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ru-RU" w:eastAsia="bg-BG"/>
              </w:rPr>
              <w:lastRenderedPageBreak/>
              <w:t xml:space="preserve">1.1.  </w:t>
            </w:r>
            <w:r w:rsidRPr="00017E35">
              <w:rPr>
                <w:rFonts w:ascii="Times New Roman" w:eastAsia="Times New Roman" w:hAnsi="Times New Roman" w:cs="Times New Roman"/>
                <w:color w:val="000000"/>
                <w:sz w:val="24"/>
                <w:szCs w:val="24"/>
                <w:lang w:eastAsia="bg-BG"/>
              </w:rPr>
              <w:t>документ за собственост от който да е видно статута на обекта, ако е собствен и/или или документ за ползване и/или наем, за не по малко от 6 години;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1.2.  план схема за разполагане на преместваеми обекти и съоръжения (представя се ако има такива обекти).</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sz w:val="24"/>
                <w:szCs w:val="24"/>
                <w:lang w:eastAsia="bg-BG"/>
              </w:rPr>
              <w:t>2. за оборудване и/или обзавеждане  подробни технически спецификации.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Общи изисквания:</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017E35">
              <w:rPr>
                <w:rFonts w:ascii="Times New Roman" w:hAnsi="Times New Roman" w:cs="Times New Roman"/>
                <w:sz w:val="24"/>
                <w:szCs w:val="24"/>
                <w:lang w:val="ru-RU"/>
              </w:rPr>
              <w:t>.</w:t>
            </w:r>
            <w:r w:rsidRPr="00017E35">
              <w:rPr>
                <w:rFonts w:ascii="Times New Roman" w:hAnsi="Times New Roman" w:cs="Times New Roman"/>
                <w:sz w:val="24"/>
                <w:szCs w:val="24"/>
              </w:rPr>
              <w:t xml:space="preserve"> </w:t>
            </w:r>
          </w:p>
          <w:p w:rsidR="00A35796" w:rsidRPr="00017E35" w:rsidRDefault="00A35796" w:rsidP="00B30004">
            <w:pPr>
              <w:jc w:val="both"/>
              <w:rPr>
                <w:rFonts w:ascii="Times New Roman" w:eastAsia="Times New Roman" w:hAnsi="Times New Roman" w:cs="Times New Roman"/>
                <w:color w:val="000000"/>
                <w:sz w:val="24"/>
                <w:szCs w:val="24"/>
                <w:lang w:val="ru-RU" w:eastAsia="bg-BG"/>
              </w:rPr>
            </w:pPr>
            <w:r w:rsidRPr="00017E35">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 xml:space="preserve">1. За дейности, допустими за подпомагане по </w:t>
            </w:r>
            <w:hyperlink r:id="rId20"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1"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2"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1"/>
        <w:rPr>
          <w:rFonts w:cs="Times New Roman"/>
          <w:szCs w:val="24"/>
        </w:rPr>
      </w:pPr>
      <w:bookmarkStart w:id="19" w:name="_Toc526320288"/>
      <w:r w:rsidRPr="00B30004">
        <w:rPr>
          <w:rFonts w:cs="Times New Roman"/>
          <w:szCs w:val="24"/>
        </w:rPr>
        <w:lastRenderedPageBreak/>
        <w:t>14. Категории разходи, допустими за финансиране:</w:t>
      </w:r>
      <w:bookmarkEnd w:id="19"/>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B30004">
              <w:rPr>
                <w:rFonts w:ascii="Times New Roman" w:eastAsia="MS Mincho" w:hAnsi="Times New Roman" w:cs="Times New Roman"/>
                <w:b/>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B30004"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r w:rsidRPr="0085785D">
              <w:rPr>
                <w:rFonts w:ascii="Times New Roman" w:eastAsia="MS Mincho" w:hAnsi="Times New Roman" w:cs="Times New Roman"/>
                <w:b/>
                <w:sz w:val="24"/>
                <w:szCs w:val="24"/>
                <w:shd w:val="clear" w:color="auto" w:fill="FEFEFE"/>
                <w:lang w:eastAsia="bg-BG"/>
              </w:rPr>
              <w:t>.</w:t>
            </w:r>
          </w:p>
          <w:p w:rsidR="00A35796" w:rsidRPr="00B30004" w:rsidRDefault="00A35796" w:rsidP="00F01E65">
            <w:pPr>
              <w:widowControl w:val="0"/>
              <w:autoSpaceDE w:val="0"/>
              <w:autoSpaceDN w:val="0"/>
              <w:adjustRightInd w:val="0"/>
              <w:jc w:val="both"/>
              <w:rPr>
                <w:sz w:val="24"/>
                <w:szCs w:val="24"/>
              </w:rPr>
            </w:pPr>
          </w:p>
        </w:tc>
      </w:tr>
    </w:tbl>
    <w:p w:rsidR="00A35796" w:rsidRPr="00B30004" w:rsidRDefault="00A35796" w:rsidP="00A35796">
      <w:pPr>
        <w:pStyle w:val="1"/>
        <w:rPr>
          <w:szCs w:val="24"/>
        </w:rPr>
      </w:pPr>
      <w:bookmarkStart w:id="20" w:name="_Toc526320289"/>
      <w:r w:rsidRPr="00B30004">
        <w:rPr>
          <w:szCs w:val="24"/>
        </w:rPr>
        <w:t>14. 2. Условия за допустимост на разходите:</w:t>
      </w:r>
      <w:bookmarkEnd w:id="20"/>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не </w:t>
            </w:r>
            <w:r w:rsidRPr="00B30004">
              <w:rPr>
                <w:rFonts w:ascii="Times New Roman" w:hAnsi="Times New Roman" w:cs="Times New Roman"/>
                <w:sz w:val="24"/>
                <w:szCs w:val="24"/>
              </w:rPr>
              <w:lastRenderedPageBreak/>
              <w:t xml:space="preserve">може да надхвърлят </w:t>
            </w:r>
            <w:r w:rsidRPr="00B30004">
              <w:rPr>
                <w:rFonts w:ascii="Times New Roman" w:hAnsi="Times New Roman" w:cs="Times New Roman"/>
                <w:sz w:val="24"/>
                <w:szCs w:val="24"/>
                <w:lang w:val="ru-RU"/>
              </w:rPr>
              <w:t>12</w:t>
            </w:r>
            <w:r w:rsidRPr="00B30004">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3.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„а“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от Раздел 14.1. „Допустими разходи” и са необходими за постигане на целите на проекта.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5. Разходите по подточка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w:t>
            </w:r>
            <w:r w:rsidRPr="00B30004">
              <w:rPr>
                <w:rFonts w:ascii="Times New Roman" w:hAnsi="Times New Roman" w:cs="Times New Roman"/>
                <w:color w:val="FF0000"/>
                <w:sz w:val="24"/>
                <w:szCs w:val="24"/>
              </w:rPr>
              <w:t>„</w:t>
            </w:r>
            <w:r w:rsidRPr="00B30004">
              <w:rPr>
                <w:rFonts w:ascii="Times New Roman" w:hAnsi="Times New Roman" w:cs="Times New Roman"/>
                <w:sz w:val="24"/>
                <w:szCs w:val="24"/>
              </w:rPr>
              <w:t>Допустими разходи” са допустими, ако са извършени не по-рано от 1 януари 2014 г.,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6. Дейностите и разходите по проекта с изключение на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а, б,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w:t>
            </w:r>
            <w:r w:rsidRPr="00B30004">
              <w:rPr>
                <w:rFonts w:ascii="Times New Roman" w:hAnsi="Times New Roman" w:cs="Times New Roman"/>
                <w:color w:val="FF0000"/>
                <w:sz w:val="24"/>
                <w:szCs w:val="24"/>
              </w:rPr>
              <w:t xml:space="preserve">. </w:t>
            </w:r>
            <w:r w:rsidRPr="00B30004">
              <w:rPr>
                <w:rFonts w:ascii="Times New Roman" w:hAnsi="Times New Roman" w:cs="Times New Roman"/>
                <w:sz w:val="24"/>
                <w:szCs w:val="24"/>
              </w:rPr>
              <w:t>„Допустими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10. Обосноваността на за</w:t>
            </w:r>
            <w:r w:rsidRPr="00B30004">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10. Когато за  заявеният за финансиране разход по подточки а, б и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няма определен референтен разход съгл.т.10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11. В случаите по т. 10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w:t>
            </w:r>
            <w:r w:rsidRPr="00B30004">
              <w:rPr>
                <w:rFonts w:ascii="Times New Roman" w:hAnsi="Times New Roman" w:cs="Times New Roman"/>
                <w:sz w:val="24"/>
                <w:szCs w:val="24"/>
              </w:rPr>
              <w:lastRenderedPageBreak/>
              <w:t xml:space="preserve">на строителите. </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12. Кандидатите събират офертите по т. 11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 xml:space="preserve">13. </w:t>
            </w:r>
            <w:r w:rsidRPr="00B30004">
              <w:rPr>
                <w:rFonts w:ascii="Times New Roman" w:hAnsi="Times New Roman" w:cs="Times New Roman"/>
                <w:sz w:val="24"/>
                <w:szCs w:val="24"/>
              </w:rPr>
              <w:t>Минималното съдържание на офертите по т. 12 е: наименование на оферента, срок на валидност на офертата, дата на издаване на офертата, подпис и печат на офертата, техническо предложение, технически спецификации ,ценово предложение в левове с посочен ДДС.</w:t>
            </w:r>
          </w:p>
          <w:p w:rsidR="00A35796" w:rsidRPr="00B30004" w:rsidRDefault="00A35796" w:rsidP="00B30004">
            <w:pPr>
              <w:widowControl w:val="0"/>
              <w:autoSpaceDE w:val="0"/>
              <w:autoSpaceDN w:val="0"/>
              <w:adjustRightInd w:val="0"/>
              <w:jc w:val="both"/>
              <w:rPr>
                <w:sz w:val="24"/>
                <w:szCs w:val="24"/>
              </w:rPr>
            </w:pPr>
            <w:r w:rsidRPr="00B30004">
              <w:rPr>
                <w:rFonts w:ascii="Times New Roman" w:hAnsi="Times New Roman" w:cs="Times New Roman"/>
                <w:sz w:val="24"/>
                <w:szCs w:val="24"/>
              </w:rPr>
              <w:t>14.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A35796" w:rsidRPr="00B30004" w:rsidRDefault="00A35796" w:rsidP="00A35796">
      <w:pPr>
        <w:pStyle w:val="1"/>
        <w:rPr>
          <w:szCs w:val="24"/>
        </w:rPr>
      </w:pPr>
      <w:bookmarkStart w:id="21" w:name="_Toc526320290"/>
      <w:r w:rsidRPr="00B30004">
        <w:rPr>
          <w:szCs w:val="24"/>
        </w:rPr>
        <w:lastRenderedPageBreak/>
        <w:t>14. 3. Недопустими разходи:</w:t>
      </w:r>
      <w:bookmarkEnd w:id="21"/>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2" w:name="to_paragraph_id30665553"/>
            <w:bookmarkEnd w:id="22"/>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 xml:space="preserve">Недопустими разходи, съгласно чл. 21, ал.1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w:t>
            </w:r>
            <w:r w:rsidRPr="00B30004">
              <w:rPr>
                <w:rFonts w:ascii="Times New Roman" w:eastAsia="Times New Roman" w:hAnsi="Times New Roman" w:cs="Times New Roman"/>
                <w:sz w:val="24"/>
                <w:szCs w:val="24"/>
                <w:lang w:eastAsia="bg-BG"/>
              </w:rPr>
              <w:lastRenderedPageBreak/>
              <w:t>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1"/>
        <w:rPr>
          <w:szCs w:val="24"/>
        </w:rPr>
      </w:pPr>
      <w:bookmarkStart w:id="23" w:name="_Toc526320291"/>
      <w:r w:rsidRPr="00B30004">
        <w:rPr>
          <w:szCs w:val="24"/>
        </w:rPr>
        <w:lastRenderedPageBreak/>
        <w:t>15. Допустими целеви групи (ако е приложимо):</w:t>
      </w:r>
      <w:bookmarkEnd w:id="23"/>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1"/>
        <w:rPr>
          <w:szCs w:val="24"/>
        </w:rPr>
      </w:pPr>
      <w:bookmarkStart w:id="24" w:name="_Toc526320292"/>
      <w:r w:rsidRPr="00B30004">
        <w:rPr>
          <w:szCs w:val="24"/>
        </w:rPr>
        <w:t>16. Приложим режим на минимални/държавни помощи:</w:t>
      </w:r>
      <w:bookmarkEnd w:id="24"/>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B30004" w:rsidRDefault="00A35796" w:rsidP="00B30004">
            <w:pPr>
              <w:jc w:val="both"/>
              <w:rPr>
                <w:rFonts w:ascii="Times New Roman" w:hAnsi="Times New Roman" w:cs="Times New Roman"/>
                <w:sz w:val="24"/>
                <w:szCs w:val="24"/>
                <w:highlight w:val="lightGray"/>
              </w:rPr>
            </w:pP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МИГ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 xml:space="preserve">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w:t>
            </w:r>
            <w:r w:rsidRPr="00B30004">
              <w:rPr>
                <w:rFonts w:ascii="Times New Roman" w:hAnsi="Times New Roman" w:cs="Times New Roman"/>
                <w:b/>
                <w:sz w:val="24"/>
                <w:szCs w:val="24"/>
                <w:highlight w:val="lightGray"/>
              </w:rPr>
              <w:lastRenderedPageBreak/>
              <w:t>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 xml:space="preserve">интервенциите са върху публични общински сгради, които са общинска собственост; </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   интервенциите са върху обекти, свързани с туризъм, които са общинска собственост, туристически центрове и др.;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туристическата инфраструктура е за услуги със свободен обществен достъп и с неикономически характер;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дейностите в тези обекти са организирани по нетърговски начин и са от нестопанско естество;</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35796" w:rsidRPr="001D5DA0" w:rsidRDefault="00A35796" w:rsidP="00B30004">
            <w:pPr>
              <w:keepNext/>
              <w:keepLines/>
              <w:contextualSpacing/>
              <w:jc w:val="both"/>
              <w:rPr>
                <w:rFonts w:ascii="Times New Roman" w:hAnsi="Times New Roman" w:cs="Times New Roman"/>
                <w:b/>
                <w:sz w:val="24"/>
                <w:szCs w:val="24"/>
                <w:lang w:val="ru-RU"/>
              </w:rPr>
            </w:pPr>
          </w:p>
          <w:p w:rsidR="008570DD" w:rsidRDefault="00A35796" w:rsidP="008570DD">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8570DD" w:rsidRDefault="008570DD" w:rsidP="008570DD">
            <w:pPr>
              <w:keepNext/>
              <w:keepLines/>
              <w:contextualSpacing/>
              <w:jc w:val="both"/>
              <w:rPr>
                <w:rFonts w:ascii="Times New Roman" w:hAnsi="Times New Roman" w:cs="Times New Roman"/>
                <w:b/>
                <w:sz w:val="24"/>
                <w:szCs w:val="24"/>
              </w:rPr>
            </w:pPr>
          </w:p>
          <w:p w:rsidR="008570DD" w:rsidRPr="008570DD" w:rsidRDefault="008570DD" w:rsidP="008570DD">
            <w:pPr>
              <w:keepNext/>
              <w:keepLines/>
              <w:contextualSpacing/>
              <w:jc w:val="both"/>
              <w:rPr>
                <w:rFonts w:ascii="Times New Roman" w:hAnsi="Times New Roman" w:cs="Times New Roman"/>
                <w:b/>
                <w:sz w:val="24"/>
                <w:szCs w:val="24"/>
              </w:rPr>
            </w:pPr>
            <w:r>
              <w:lastRenderedPageBreak/>
              <w:t xml:space="preserve"> </w:t>
            </w:r>
            <w:r w:rsidRPr="008570DD">
              <w:rPr>
                <w:rFonts w:ascii="Times New Roman" w:hAnsi="Times New Roman" w:cs="Times New Roman"/>
                <w:b/>
                <w:sz w:val="24"/>
                <w:szCs w:val="24"/>
              </w:rPr>
              <w:t>Действия на МИГ Чирпан относно режима на минимални / държавни помощи:</w:t>
            </w:r>
          </w:p>
          <w:p w:rsidR="008570DD" w:rsidRPr="00C2576C" w:rsidRDefault="008570DD" w:rsidP="008570DD">
            <w:pPr>
              <w:keepNext/>
              <w:keepLines/>
              <w:contextualSpacing/>
              <w:jc w:val="both"/>
              <w:rPr>
                <w:rFonts w:ascii="Times New Roman" w:hAnsi="Times New Roman" w:cs="Times New Roman"/>
                <w:sz w:val="24"/>
                <w:szCs w:val="24"/>
              </w:rPr>
            </w:pPr>
            <w:r w:rsidRPr="008570DD">
              <w:rPr>
                <w:rFonts w:ascii="Times New Roman" w:hAnsi="Times New Roman" w:cs="Times New Roman"/>
                <w:b/>
                <w:sz w:val="24"/>
                <w:szCs w:val="24"/>
              </w:rPr>
              <w:t>-</w:t>
            </w:r>
            <w:r w:rsidRPr="008570DD">
              <w:rPr>
                <w:rFonts w:ascii="Times New Roman" w:hAnsi="Times New Roman" w:cs="Times New Roman"/>
                <w:b/>
                <w:sz w:val="24"/>
                <w:szCs w:val="24"/>
              </w:rPr>
              <w:tab/>
            </w:r>
            <w:r w:rsidRPr="00C2576C">
              <w:rPr>
                <w:rFonts w:ascii="Times New Roman" w:hAnsi="Times New Roman" w:cs="Times New Roman"/>
                <w:sz w:val="24"/>
                <w:szCs w:val="24"/>
              </w:rPr>
              <w:t xml:space="preserve">На етап кандидатстване </w:t>
            </w:r>
          </w:p>
          <w:p w:rsidR="00C2575B"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1.МИГ Чирпан  определя режим „помощ“/ „непомощ“ като изисква кандидатите да подават Декларация за дейността на кандидата (икономическа/неикономическа) и</w:t>
            </w:r>
            <w:r w:rsidRPr="008570DD">
              <w:rPr>
                <w:rFonts w:ascii="Times New Roman" w:hAnsi="Times New Roman" w:cs="Times New Roman"/>
                <w:b/>
                <w:sz w:val="24"/>
                <w:szCs w:val="24"/>
              </w:rPr>
              <w:t xml:space="preserve"> годишен </w:t>
            </w:r>
            <w:r w:rsidRPr="00C2576C">
              <w:rPr>
                <w:rFonts w:ascii="Times New Roman" w:hAnsi="Times New Roman" w:cs="Times New Roman"/>
                <w:sz w:val="24"/>
                <w:szCs w:val="24"/>
              </w:rPr>
              <w:t>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A35796" w:rsidRPr="00C2576C" w:rsidRDefault="00C2575B"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 xml:space="preserve"> </w:t>
            </w:r>
            <w:r w:rsidR="008570DD" w:rsidRPr="00C2576C">
              <w:rPr>
                <w:rFonts w:ascii="Times New Roman" w:hAnsi="Times New Roman" w:cs="Times New Roman"/>
                <w:sz w:val="24"/>
                <w:szCs w:val="24"/>
              </w:rPr>
              <w:t>2.</w:t>
            </w:r>
            <w:r w:rsidR="008570DD" w:rsidRPr="00C2576C">
              <w:t xml:space="preserve"> </w:t>
            </w:r>
            <w:r w:rsidR="009D2E51" w:rsidRPr="00C2576C">
              <w:t xml:space="preserve"> </w:t>
            </w:r>
            <w:r w:rsidR="009D2E51" w:rsidRPr="00C2576C">
              <w:rPr>
                <w:rFonts w:ascii="Times New Roman" w:hAnsi="Times New Roman" w:cs="Times New Roman"/>
                <w:sz w:val="24"/>
                <w:szCs w:val="24"/>
              </w:rPr>
              <w:t xml:space="preserve">МИГ изисква </w:t>
            </w:r>
            <w:r w:rsidR="008570DD" w:rsidRPr="00C2576C">
              <w:rPr>
                <w:rFonts w:ascii="Times New Roman" w:hAnsi="Times New Roman" w:cs="Times New Roman"/>
                <w:sz w:val="24"/>
                <w:szCs w:val="24"/>
              </w:rPr>
              <w:t>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5B" w:rsidRDefault="009D2E51" w:rsidP="008570DD">
            <w:pPr>
              <w:keepNext/>
              <w:keepLines/>
              <w:contextualSpacing/>
              <w:jc w:val="both"/>
              <w:rPr>
                <w:rFonts w:ascii="Times New Roman" w:hAnsi="Times New Roman" w:cs="Times New Roman"/>
                <w:b/>
                <w:sz w:val="24"/>
                <w:szCs w:val="24"/>
              </w:rPr>
            </w:pPr>
            <w:r w:rsidRPr="00C2576C">
              <w:rPr>
                <w:rFonts w:ascii="Times New Roman" w:hAnsi="Times New Roman" w:cs="Times New Roman"/>
                <w:sz w:val="24"/>
                <w:szCs w:val="24"/>
              </w:rPr>
              <w:t>-</w:t>
            </w:r>
            <w:r w:rsidRPr="00C2575B">
              <w:rPr>
                <w:rFonts w:ascii="Times New Roman" w:hAnsi="Times New Roman" w:cs="Times New Roman"/>
                <w:b/>
                <w:sz w:val="24"/>
                <w:szCs w:val="24"/>
              </w:rPr>
              <w:tab/>
              <w:t>На етап проверка за административно съответствие и допустимост</w:t>
            </w:r>
          </w:p>
          <w:p w:rsidR="009D2E51" w:rsidRPr="00C2576C" w:rsidRDefault="00AD0B78"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1</w:t>
            </w:r>
            <w:r w:rsidR="009D2E51" w:rsidRPr="00C2576C">
              <w:rPr>
                <w:rFonts w:ascii="Times New Roman" w:hAnsi="Times New Roman" w:cs="Times New Roman"/>
                <w:sz w:val="24"/>
                <w:szCs w:val="24"/>
              </w:rPr>
              <w:t>. Наличие на 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6C" w:rsidRDefault="00C2576C"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D0B78">
              <w:rPr>
                <w:rFonts w:ascii="Times New Roman" w:hAnsi="Times New Roman" w:cs="Times New Roman"/>
                <w:sz w:val="24"/>
                <w:szCs w:val="24"/>
              </w:rPr>
              <w:t>2</w:t>
            </w:r>
            <w:r w:rsidR="009D2E51" w:rsidRPr="00C2576C">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3.</w:t>
            </w:r>
            <w:r w:rsidR="009D2E51" w:rsidRPr="00C2576C">
              <w:rPr>
                <w:rFonts w:ascii="Times New Roman" w:hAnsi="Times New Roman" w:cs="Times New Roman"/>
                <w:sz w:val="24"/>
                <w:szCs w:val="24"/>
              </w:rPr>
              <w:t xml:space="preserve"> 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w:t>
            </w:r>
            <w:r w:rsidR="009D2E51" w:rsidRPr="00C2576C">
              <w:t xml:space="preserve"> </w:t>
            </w:r>
            <w:r w:rsidR="009D2E51" w:rsidRPr="00C2576C">
              <w:rPr>
                <w:rFonts w:ascii="Times New Roman" w:hAnsi="Times New Roman" w:cs="Times New Roman"/>
                <w:sz w:val="24"/>
                <w:szCs w:val="24"/>
              </w:rPr>
              <w:t>минимални помощи.</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9D2E51" w:rsidRPr="00C2576C">
              <w:rPr>
                <w:rFonts w:ascii="Times New Roman" w:hAnsi="Times New Roman" w:cs="Times New Roman"/>
                <w:sz w:val="24"/>
                <w:szCs w:val="24"/>
              </w:rPr>
              <w:t>.Извършва се проверка на получената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A35796" w:rsidRPr="00B30004" w:rsidRDefault="009D2E51" w:rsidP="00C66D1C">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В случай , че се установи, че с финансовата помощ, за която се кандидатства, се  надхвърля прагът на допустимите минимални помощи, Комисията за ППП намалява служебно размера на БФП до максимално допустимия размер</w:t>
            </w:r>
            <w:r w:rsidR="00C66D1C">
              <w:rPr>
                <w:rFonts w:ascii="Times New Roman" w:hAnsi="Times New Roman" w:cs="Times New Roman"/>
                <w:sz w:val="24"/>
                <w:szCs w:val="24"/>
              </w:rPr>
              <w:t>.</w:t>
            </w:r>
          </w:p>
        </w:tc>
      </w:tr>
    </w:tbl>
    <w:p w:rsidR="00A35796" w:rsidRPr="00B52668" w:rsidRDefault="00A35796" w:rsidP="00A35796">
      <w:pPr>
        <w:pStyle w:val="1"/>
        <w:rPr>
          <w:szCs w:val="24"/>
        </w:rPr>
      </w:pPr>
      <w:bookmarkStart w:id="25" w:name="_Toc526320293"/>
      <w:r w:rsidRPr="00B52668">
        <w:rPr>
          <w:szCs w:val="24"/>
        </w:rPr>
        <w:lastRenderedPageBreak/>
        <w:t>17. Хоризонтални политики:</w:t>
      </w:r>
      <w:bookmarkEnd w:id="25"/>
    </w:p>
    <w:tbl>
      <w:tblPr>
        <w:tblStyle w:val="a9"/>
        <w:tblW w:w="9918" w:type="dxa"/>
        <w:tblLook w:val="04A0" w:firstRow="1" w:lastRow="0" w:firstColumn="1" w:lastColumn="0" w:noHBand="0" w:noVBand="1"/>
      </w:tblPr>
      <w:tblGrid>
        <w:gridCol w:w="9918"/>
      </w:tblGrid>
      <w:tr w:rsidR="00A35796" w:rsidRPr="00B52668" w:rsidTr="00B52668">
        <w:trPr>
          <w:trHeight w:val="6555"/>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 xml:space="preserve">информационната кампания за огласяване възможностите за кандидатстване с проекти </w:t>
            </w:r>
            <w:r w:rsidRPr="00B52668">
              <w:rPr>
                <w:rFonts w:eastAsia="MS Mincho"/>
                <w:color w:val="000000"/>
              </w:rPr>
              <w:lastRenderedPageBreak/>
              <w:t>–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B52668" w:rsidRDefault="00A35796" w:rsidP="00B30004">
            <w:pPr>
              <w:pStyle w:val="af0"/>
              <w:numPr>
                <w:ilvl w:val="0"/>
                <w:numId w:val="17"/>
              </w:numPr>
              <w:jc w:val="both"/>
              <w:rPr>
                <w:rFonts w:eastAsia="MS Mincho"/>
                <w:b/>
                <w:color w:val="000000"/>
              </w:rPr>
            </w:pPr>
            <w:r w:rsidRPr="00B52668">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B52668" w:rsidRDefault="00A35796" w:rsidP="00B30004">
            <w:pPr>
              <w:jc w:val="both"/>
              <w:rPr>
                <w:rFonts w:ascii="Times New Roman" w:eastAsia="MS Mincho" w:hAnsi="Times New Roman" w:cs="Times New Roman"/>
                <w:color w:val="000000"/>
                <w:sz w:val="24"/>
                <w:szCs w:val="24"/>
              </w:rPr>
            </w:pP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A35796" w:rsidRPr="00B52668" w:rsidRDefault="00A35796" w:rsidP="00B30004">
            <w:pPr>
              <w:jc w:val="both"/>
              <w:rPr>
                <w:rFonts w:ascii="Times New Roman" w:hAnsi="Times New Roman" w:cs="Times New Roman"/>
                <w:sz w:val="24"/>
                <w:szCs w:val="24"/>
              </w:rPr>
            </w:pPr>
          </w:p>
        </w:tc>
      </w:tr>
    </w:tbl>
    <w:p w:rsidR="00A35796" w:rsidRPr="003E1FA9" w:rsidRDefault="00A35796" w:rsidP="00A35796">
      <w:pPr>
        <w:pStyle w:val="1"/>
        <w:rPr>
          <w:szCs w:val="24"/>
        </w:rPr>
      </w:pPr>
      <w:bookmarkStart w:id="26" w:name="_Toc526320294"/>
      <w:r w:rsidRPr="003E1FA9">
        <w:rPr>
          <w:szCs w:val="24"/>
        </w:rPr>
        <w:lastRenderedPageBreak/>
        <w:t>18. Минимален и максимален срок за изпълнение на проекта:</w:t>
      </w:r>
      <w:bookmarkEnd w:id="2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7" w:name="to_paragraph_id30665578"/>
            <w:bookmarkEnd w:id="27"/>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3E1FA9" w:rsidRDefault="00A35796" w:rsidP="00A35796">
      <w:pPr>
        <w:pStyle w:val="1"/>
        <w:spacing w:line="240" w:lineRule="auto"/>
        <w:rPr>
          <w:szCs w:val="24"/>
        </w:rPr>
      </w:pPr>
      <w:bookmarkStart w:id="28" w:name="_Toc526320295"/>
      <w:r w:rsidRPr="003E1FA9">
        <w:rPr>
          <w:szCs w:val="24"/>
        </w:rPr>
        <w:t xml:space="preserve">19. Ред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bookmarkEnd w:id="28"/>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lastRenderedPageBreak/>
              <w:t>Н</w:t>
            </w:r>
            <w:r w:rsidRPr="003E1FA9">
              <w:rPr>
                <w:rFonts w:ascii="Times New Roman" w:hAnsi="Times New Roman" w:cs="Times New Roman"/>
                <w:b/>
                <w:sz w:val="24"/>
                <w:szCs w:val="24"/>
              </w:rPr>
              <w:t>еприложимо</w:t>
            </w:r>
          </w:p>
        </w:tc>
      </w:tr>
    </w:tbl>
    <w:p w:rsidR="00A35796" w:rsidRPr="003E1FA9" w:rsidRDefault="00A35796" w:rsidP="00A35796">
      <w:pPr>
        <w:pStyle w:val="1"/>
        <w:spacing w:line="240" w:lineRule="auto"/>
        <w:rPr>
          <w:szCs w:val="24"/>
        </w:rPr>
      </w:pPr>
      <w:bookmarkStart w:id="29" w:name="_Toc526320296"/>
      <w:r w:rsidRPr="003E1FA9">
        <w:rPr>
          <w:szCs w:val="24"/>
        </w:rPr>
        <w:t xml:space="preserve">21. </w:t>
      </w:r>
      <w:bookmarkStart w:id="30" w:name="_Hlk526248568"/>
      <w:r w:rsidRPr="003E1FA9">
        <w:rPr>
          <w:szCs w:val="24"/>
        </w:rPr>
        <w:t>Ред за оценяване на проектните предложения:</w:t>
      </w:r>
      <w:bookmarkEnd w:id="29"/>
    </w:p>
    <w:tbl>
      <w:tblPr>
        <w:tblStyle w:val="a9"/>
        <w:tblW w:w="9918" w:type="dxa"/>
        <w:tblLook w:val="04A0" w:firstRow="1" w:lastRow="0" w:firstColumn="1" w:lastColumn="0" w:noHBand="0" w:noVBand="1"/>
      </w:tblPr>
      <w:tblGrid>
        <w:gridCol w:w="9918"/>
      </w:tblGrid>
      <w:tr w:rsidR="00A35796" w:rsidRPr="003E1FA9" w:rsidTr="003E1FA9">
        <w:tc>
          <w:tcPr>
            <w:tcW w:w="9918" w:type="dxa"/>
          </w:tcPr>
          <w:bookmarkEnd w:id="30"/>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3E1FA9">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3E1FA9">
              <w:rPr>
                <w:rFonts w:ascii="Times New Roman" w:hAnsi="Times New Roman" w:cs="Times New Roman"/>
                <w:sz w:val="24"/>
                <w:szCs w:val="24"/>
              </w:rPr>
              <w:t>, както и в в 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3E1FA9">
              <w:rPr>
                <w:rFonts w:ascii="Times New Roman" w:hAnsi="Times New Roman" w:cs="Times New Roman"/>
                <w:b/>
                <w:sz w:val="24"/>
                <w:szCs w:val="24"/>
              </w:rPr>
              <w:t>до три дни</w:t>
            </w:r>
            <w:r w:rsidRPr="003E1FA9">
              <w:rPr>
                <w:rFonts w:ascii="Times New Roman" w:hAnsi="Times New Roman" w:cs="Times New Roman"/>
                <w:sz w:val="24"/>
                <w:szCs w:val="24"/>
              </w:rPr>
              <w:t xml:space="preserve"> след крайния срок за подаването на проектните предложения.</w:t>
            </w:r>
            <w:r w:rsidRPr="003E1FA9">
              <w:rPr>
                <w:sz w:val="24"/>
                <w:szCs w:val="24"/>
              </w:rPr>
              <w:t xml:space="preserve"> </w:t>
            </w:r>
            <w:r w:rsidRPr="003E1FA9">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3E1FA9">
              <w:rPr>
                <w:rFonts w:ascii="Times New Roman" w:hAnsi="Times New Roman" w:cs="Times New Roman"/>
                <w:b/>
                <w:sz w:val="24"/>
                <w:szCs w:val="24"/>
              </w:rPr>
              <w:t>до 30  работни  дни</w:t>
            </w:r>
            <w:r w:rsidRPr="003E1FA9">
              <w:rPr>
                <w:rFonts w:ascii="Times New Roman" w:hAnsi="Times New Roman" w:cs="Times New Roman"/>
                <w:sz w:val="24"/>
                <w:szCs w:val="24"/>
              </w:rPr>
              <w:t xml:space="preserve"> от изтичане на крайния срок на приема. </w:t>
            </w:r>
          </w:p>
          <w:p w:rsidR="00A35796" w:rsidRPr="003E1FA9" w:rsidRDefault="00A35796" w:rsidP="00B30004">
            <w:pPr>
              <w:rPr>
                <w:rFonts w:ascii="Times New Roman" w:hAnsi="Times New Roman" w:cs="Times New Roman"/>
                <w:sz w:val="24"/>
                <w:szCs w:val="24"/>
              </w:rPr>
            </w:pPr>
            <w:r w:rsidRPr="003E1FA9">
              <w:rPr>
                <w:rFonts w:ascii="Times New Roman" w:hAnsi="Times New Roman" w:cs="Times New Roman"/>
                <w:sz w:val="24"/>
                <w:szCs w:val="24"/>
              </w:rPr>
              <w:t>3. Оценката на проектните предложения включва: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а) Етап 1: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б) Етап 2: Техническа и финансова оценка.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A35796" w:rsidRPr="003E1FA9" w:rsidRDefault="00A35796" w:rsidP="00A35796">
      <w:pPr>
        <w:pStyle w:val="1"/>
        <w:rPr>
          <w:szCs w:val="24"/>
        </w:rPr>
      </w:pPr>
      <w:bookmarkStart w:id="31" w:name="_Toc526320297"/>
      <w:r w:rsidRPr="003E1FA9">
        <w:rPr>
          <w:szCs w:val="24"/>
        </w:rPr>
        <w:t>21.1 Оценка на административното съответствие и допустимост:</w:t>
      </w:r>
      <w:bookmarkEnd w:id="31"/>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 включва: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lastRenderedPageBreak/>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проверка за минимални помощи;</w:t>
            </w:r>
          </w:p>
          <w:p w:rsidR="00A35796" w:rsidRPr="003E1FA9" w:rsidRDefault="00A35796" w:rsidP="00B30004">
            <w:pPr>
              <w:jc w:val="both"/>
              <w:rPr>
                <w:sz w:val="24"/>
                <w:szCs w:val="24"/>
                <w:lang w:val="ru-RU"/>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3E1FA9">
              <w:rPr>
                <w:sz w:val="24"/>
                <w:szCs w:val="24"/>
              </w:rPr>
              <w:t xml:space="preserve">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Приложение № </w:t>
            </w:r>
            <w:r w:rsidR="003F11FB">
              <w:rPr>
                <w:rFonts w:ascii="Times New Roman" w:eastAsia="Times New Roman" w:hAnsi="Times New Roman" w:cs="Times New Roman"/>
                <w:sz w:val="24"/>
                <w:szCs w:val="24"/>
              </w:rPr>
              <w:t>17</w:t>
            </w:r>
            <w:r w:rsidR="008F06E3">
              <w:rPr>
                <w:rFonts w:ascii="Times New Roman" w:eastAsia="Times New Roman" w:hAnsi="Times New Roman" w:cs="Times New Roman"/>
                <w:sz w:val="24"/>
                <w:szCs w:val="24"/>
              </w:rPr>
              <w:t xml:space="preserve"> в</w:t>
            </w:r>
            <w:r w:rsidRPr="003E1FA9">
              <w:rPr>
                <w:rFonts w:ascii="Times New Roman" w:eastAsia="Times New Roman" w:hAnsi="Times New Roman" w:cs="Times New Roman"/>
                <w:sz w:val="24"/>
                <w:szCs w:val="24"/>
              </w:rPr>
              <w:t xml:space="preserve"> </w:t>
            </w:r>
            <w:r w:rsidR="00C61E4B">
              <w:rPr>
                <w:rFonts w:ascii="Times New Roman" w:eastAsia="Times New Roman" w:hAnsi="Times New Roman" w:cs="Times New Roman"/>
                <w:sz w:val="24"/>
                <w:szCs w:val="24"/>
              </w:rPr>
              <w:t>Д</w:t>
            </w:r>
            <w:r w:rsidR="008F06E3">
              <w:rPr>
                <w:rFonts w:ascii="Times New Roman" w:eastAsia="Times New Roman" w:hAnsi="Times New Roman" w:cs="Times New Roman"/>
                <w:sz w:val="24"/>
                <w:szCs w:val="24"/>
              </w:rPr>
              <w:t xml:space="preserve">окументи за информация към </w:t>
            </w:r>
            <w:r w:rsidRPr="003E1FA9">
              <w:rPr>
                <w:rFonts w:ascii="Times New Roman" w:eastAsia="Times New Roman" w:hAnsi="Times New Roman" w:cs="Times New Roman"/>
                <w:sz w:val="24"/>
                <w:szCs w:val="24"/>
              </w:rPr>
              <w:t>Условията за кандидатстване.</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4.</w:t>
            </w:r>
            <w:r w:rsidRPr="003E1FA9">
              <w:rPr>
                <w:rFonts w:ascii="Times New Roman" w:eastAsia="Times New Roman" w:hAnsi="Times New Roman" w:cs="Times New Roman"/>
                <w:color w:val="FF0000"/>
                <w:sz w:val="24"/>
                <w:szCs w:val="24"/>
              </w:rPr>
              <w:t xml:space="preserve"> </w:t>
            </w:r>
            <w:r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A35796" w:rsidP="00B30004">
            <w:pPr>
              <w:jc w:val="both"/>
              <w:rPr>
                <w:sz w:val="24"/>
                <w:szCs w:val="24"/>
              </w:rPr>
            </w:pPr>
            <w:r w:rsidRPr="003E1FA9">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3E1FA9">
              <w:rPr>
                <w:sz w:val="24"/>
                <w:szCs w:val="24"/>
                <w:shd w:val="clear" w:color="auto" w:fill="FEFEFE"/>
              </w:rPr>
              <w:t xml:space="preserve"> </w:t>
            </w:r>
            <w:r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3E1FA9">
              <w:rPr>
                <w:rFonts w:ascii="Times New Roman" w:hAnsi="Times New Roman" w:cs="Times New Roman"/>
                <w:b/>
                <w:sz w:val="24"/>
                <w:szCs w:val="24"/>
              </w:rPr>
              <w:t>не може да бъде по-кратък от една седмица</w:t>
            </w:r>
            <w:r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7.</w:t>
            </w:r>
            <w:r w:rsidRPr="003E1FA9">
              <w:rPr>
                <w:sz w:val="24"/>
                <w:szCs w:val="24"/>
                <w:shd w:val="clear" w:color="auto" w:fill="FEFEFE"/>
              </w:rPr>
              <w:t xml:space="preserve"> </w:t>
            </w:r>
            <w:r w:rsidRPr="003E1FA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w:t>
            </w:r>
            <w:r w:rsidRPr="003E1FA9">
              <w:rPr>
                <w:rFonts w:ascii="Times New Roman" w:hAnsi="Times New Roman" w:cs="Times New Roman"/>
                <w:sz w:val="24"/>
                <w:szCs w:val="24"/>
              </w:rPr>
              <w:lastRenderedPageBreak/>
              <w:t>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д)несъответствие с правилата за държавните или минимални те помощи;</w:t>
            </w:r>
          </w:p>
          <w:p w:rsidR="00F839C5" w:rsidRPr="003E1FA9" w:rsidRDefault="00F839C5" w:rsidP="00B30004">
            <w:pPr>
              <w:jc w:val="both"/>
              <w:rPr>
                <w:rFonts w:ascii="Times New Roman" w:hAnsi="Times New Roman" w:cs="Times New Roman"/>
                <w:sz w:val="24"/>
                <w:szCs w:val="24"/>
              </w:rPr>
            </w:pPr>
            <w:r w:rsidRPr="00F839C5">
              <w:rPr>
                <w:rFonts w:ascii="Times New Roman" w:hAnsi="Times New Roman" w:cs="Times New Roman"/>
                <w:sz w:val="24"/>
                <w:szCs w:val="24"/>
              </w:rPr>
              <w:t>Оценителната комисия Попълва Таблица 1 -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Приложение </w:t>
            </w:r>
            <w:r w:rsidR="008F06E3" w:rsidRPr="008F06E3">
              <w:rPr>
                <w:rFonts w:ascii="Times New Roman" w:hAnsi="Times New Roman" w:cs="Times New Roman"/>
                <w:sz w:val="24"/>
                <w:szCs w:val="24"/>
              </w:rPr>
              <w:t>№</w:t>
            </w:r>
            <w:r w:rsidR="008F06E3">
              <w:rPr>
                <w:rFonts w:ascii="Times New Roman" w:hAnsi="Times New Roman" w:cs="Times New Roman"/>
                <w:sz w:val="24"/>
                <w:szCs w:val="24"/>
              </w:rPr>
              <w:t xml:space="preserve"> </w:t>
            </w:r>
            <w:r w:rsidR="00000117">
              <w:rPr>
                <w:rFonts w:ascii="Times New Roman" w:hAnsi="Times New Roman" w:cs="Times New Roman"/>
                <w:sz w:val="24"/>
                <w:szCs w:val="24"/>
              </w:rPr>
              <w:t>20</w:t>
            </w:r>
            <w:r w:rsidR="009943C4">
              <w:rPr>
                <w:rFonts w:ascii="Times New Roman" w:hAnsi="Times New Roman" w:cs="Times New Roman"/>
                <w:sz w:val="24"/>
                <w:szCs w:val="24"/>
              </w:rPr>
              <w:t xml:space="preserve"> </w:t>
            </w:r>
            <w:r w:rsidR="008F06E3">
              <w:rPr>
                <w:rFonts w:ascii="Times New Roman" w:hAnsi="Times New Roman" w:cs="Times New Roman"/>
                <w:sz w:val="24"/>
                <w:szCs w:val="24"/>
              </w:rPr>
              <w:t>в</w:t>
            </w:r>
            <w:r w:rsidR="009943C4">
              <w:rPr>
                <w:rFonts w:ascii="Times New Roman" w:hAnsi="Times New Roman" w:cs="Times New Roman"/>
                <w:sz w:val="24"/>
                <w:szCs w:val="24"/>
              </w:rPr>
              <w:t xml:space="preserve"> </w:t>
            </w:r>
            <w:r w:rsidR="00C61E4B">
              <w:rPr>
                <w:rFonts w:ascii="Times New Roman" w:hAnsi="Times New Roman" w:cs="Times New Roman"/>
                <w:sz w:val="24"/>
                <w:szCs w:val="24"/>
              </w:rPr>
              <w:t>„Д</w:t>
            </w:r>
            <w:r w:rsidR="009943C4">
              <w:rPr>
                <w:rFonts w:ascii="Times New Roman" w:hAnsi="Times New Roman" w:cs="Times New Roman"/>
                <w:sz w:val="24"/>
                <w:szCs w:val="24"/>
              </w:rPr>
              <w:t>окументи за информация</w:t>
            </w:r>
            <w:r w:rsidR="00C61E4B">
              <w:rPr>
                <w:rFonts w:ascii="Times New Roman" w:hAnsi="Times New Roman" w:cs="Times New Roman"/>
                <w:sz w:val="24"/>
                <w:szCs w:val="24"/>
              </w:rPr>
              <w:t>“</w:t>
            </w:r>
            <w:r w:rsidR="008F06E3">
              <w:rPr>
                <w:rFonts w:ascii="Times New Roman" w:hAnsi="Times New Roman" w:cs="Times New Roman"/>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9.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lastRenderedPageBreak/>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A35796" w:rsidRPr="003E1FA9" w:rsidRDefault="00A35796" w:rsidP="00B30004">
            <w:pPr>
              <w:jc w:val="both"/>
              <w:rPr>
                <w:sz w:val="24"/>
                <w:szCs w:val="24"/>
              </w:rPr>
            </w:pPr>
            <w:r w:rsidRPr="003E1FA9">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35796" w:rsidRPr="003E1FA9" w:rsidRDefault="00A35796" w:rsidP="00A35796">
      <w:pPr>
        <w:pStyle w:val="1"/>
        <w:rPr>
          <w:szCs w:val="24"/>
        </w:rPr>
      </w:pPr>
      <w:bookmarkStart w:id="32" w:name="_Toc526320298"/>
      <w:r w:rsidRPr="003E1FA9">
        <w:rPr>
          <w:szCs w:val="24"/>
        </w:rPr>
        <w:lastRenderedPageBreak/>
        <w:t>21.2 Техническа и финансова оценка:</w:t>
      </w:r>
      <w:bookmarkEnd w:id="32"/>
    </w:p>
    <w:tbl>
      <w:tblPr>
        <w:tblStyle w:val="a9"/>
        <w:tblW w:w="9918" w:type="dxa"/>
        <w:tblLook w:val="04A0" w:firstRow="1" w:lastRow="0" w:firstColumn="1" w:lastColumn="0" w:noHBand="0" w:noVBand="1"/>
      </w:tblPr>
      <w:tblGrid>
        <w:gridCol w:w="9918"/>
      </w:tblGrid>
      <w:tr w:rsidR="00A35796" w:rsidRPr="003E1FA9" w:rsidTr="003E1FA9">
        <w:trPr>
          <w:trHeight w:val="159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w:t>
            </w:r>
            <w:r w:rsidR="00500E1E">
              <w:rPr>
                <w:rFonts w:ascii="Times New Roman" w:hAnsi="Times New Roman" w:cs="Times New Roman"/>
                <w:sz w:val="24"/>
                <w:szCs w:val="24"/>
              </w:rPr>
              <w:t>18</w:t>
            </w:r>
            <w:r w:rsidRPr="003E1FA9">
              <w:rPr>
                <w:rFonts w:ascii="Times New Roman" w:hAnsi="Times New Roman" w:cs="Times New Roman"/>
                <w:sz w:val="24"/>
                <w:szCs w:val="24"/>
              </w:rPr>
              <w:t xml:space="preserve"> </w:t>
            </w:r>
            <w:r w:rsidR="00741CD5">
              <w:rPr>
                <w:rFonts w:ascii="Times New Roman" w:hAnsi="Times New Roman" w:cs="Times New Roman"/>
                <w:sz w:val="24"/>
                <w:szCs w:val="24"/>
              </w:rPr>
              <w:t xml:space="preserve">в </w:t>
            </w:r>
            <w:r w:rsidR="0071228C">
              <w:rPr>
                <w:rFonts w:ascii="Times New Roman" w:hAnsi="Times New Roman" w:cs="Times New Roman"/>
                <w:sz w:val="24"/>
                <w:szCs w:val="24"/>
              </w:rPr>
              <w:t>„</w:t>
            </w:r>
            <w:r w:rsidR="00C61E4B">
              <w:rPr>
                <w:rFonts w:ascii="Times New Roman" w:hAnsi="Times New Roman" w:cs="Times New Roman"/>
                <w:sz w:val="24"/>
                <w:szCs w:val="24"/>
              </w:rPr>
              <w:t>Д</w:t>
            </w:r>
            <w:r w:rsidR="00741CD5">
              <w:rPr>
                <w:rFonts w:ascii="Times New Roman" w:hAnsi="Times New Roman" w:cs="Times New Roman"/>
                <w:sz w:val="24"/>
                <w:szCs w:val="24"/>
              </w:rPr>
              <w:t>окументи за информация</w:t>
            </w:r>
            <w:r w:rsidR="0071228C">
              <w:rPr>
                <w:rFonts w:ascii="Times New Roman" w:hAnsi="Times New Roman" w:cs="Times New Roman"/>
                <w:sz w:val="24"/>
                <w:szCs w:val="24"/>
              </w:rPr>
              <w:t>“</w:t>
            </w:r>
            <w:r w:rsidR="00741CD5">
              <w:rPr>
                <w:rFonts w:ascii="Times New Roman" w:hAnsi="Times New Roman" w:cs="Times New Roman"/>
                <w:sz w:val="24"/>
                <w:szCs w:val="24"/>
              </w:rPr>
              <w:t xml:space="preserve"> </w:t>
            </w:r>
            <w:r w:rsidRPr="003E1FA9">
              <w:rPr>
                <w:rFonts w:ascii="Times New Roman" w:hAnsi="Times New Roman" w:cs="Times New Roman"/>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lastRenderedPageBreak/>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B30004">
            <w:pPr>
              <w:jc w:val="both"/>
              <w:rPr>
                <w:rFonts w:ascii="Times New Roman" w:hAnsi="Times New Roman" w:cs="Times New Roman"/>
                <w:sz w:val="24"/>
                <w:szCs w:val="24"/>
                <w:shd w:val="clear" w:color="auto" w:fill="FEFEFE"/>
              </w:rPr>
            </w:pPr>
            <w:r w:rsidRPr="003E1FA9">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35796" w:rsidRPr="003E1FA9" w:rsidRDefault="00A35796" w:rsidP="00B30004">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r w:rsidRPr="003E1FA9">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A35796" w:rsidRPr="002B60ED" w:rsidRDefault="00A35796" w:rsidP="00A35796">
      <w:pPr>
        <w:pStyle w:val="1"/>
        <w:rPr>
          <w:sz w:val="22"/>
          <w:szCs w:val="22"/>
        </w:rPr>
      </w:pPr>
      <w:bookmarkStart w:id="33" w:name="_Toc526320299"/>
      <w:r w:rsidRPr="002B60ED">
        <w:rPr>
          <w:sz w:val="22"/>
          <w:szCs w:val="22"/>
        </w:rPr>
        <w:lastRenderedPageBreak/>
        <w:t>2</w:t>
      </w:r>
      <w:r>
        <w:rPr>
          <w:sz w:val="22"/>
          <w:szCs w:val="22"/>
        </w:rPr>
        <w:t>2</w:t>
      </w:r>
      <w:r w:rsidRPr="002B60ED">
        <w:rPr>
          <w:sz w:val="22"/>
          <w:szCs w:val="22"/>
        </w:rPr>
        <w:t>. Критерии и методика за оценка на проектните предложения:</w:t>
      </w:r>
      <w:bookmarkEnd w:id="33"/>
    </w:p>
    <w:tbl>
      <w:tblPr>
        <w:tblStyle w:val="a9"/>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E1FA9" w:rsidRDefault="003E1FA9" w:rsidP="003E1FA9">
            <w:pPr>
              <w:pStyle w:val="1"/>
              <w:spacing w:line="240" w:lineRule="auto"/>
              <w:jc w:val="both"/>
              <w:outlineLvl w:val="0"/>
              <w:rPr>
                <w:rFonts w:cs="Times New Roman"/>
                <w:szCs w:val="24"/>
              </w:rPr>
            </w:pPr>
            <w:bookmarkStart w:id="34" w:name="_Toc526320300"/>
            <w:r w:rsidRPr="005826FF">
              <w:rPr>
                <w:rFonts w:cs="Times New Roman"/>
                <w:b w:val="0"/>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5826FF">
              <w:rPr>
                <w:rFonts w:cs="Times New Roman"/>
                <w:b w:val="0"/>
                <w:szCs w:val="24"/>
              </w:rPr>
              <w:t>до изчерпване на наличния бюджет</w:t>
            </w:r>
            <w:r w:rsidRPr="005826FF">
              <w:rPr>
                <w:rFonts w:cs="Times New Roman"/>
                <w:szCs w:val="24"/>
              </w:rPr>
              <w:t>.</w:t>
            </w:r>
            <w:bookmarkStart w:id="35" w:name="_Toc526320301"/>
            <w:bookmarkEnd w:id="34"/>
          </w:p>
          <w:p w:rsidR="00A35796" w:rsidRPr="003E1FA9" w:rsidRDefault="003E1FA9" w:rsidP="003E1FA9">
            <w:pPr>
              <w:pStyle w:val="1"/>
              <w:spacing w:line="240" w:lineRule="auto"/>
              <w:jc w:val="both"/>
              <w:outlineLvl w:val="0"/>
              <w:rPr>
                <w:rFonts w:cs="Times New Roman"/>
                <w:szCs w:val="24"/>
              </w:rPr>
            </w:pPr>
            <w:r w:rsidRPr="005826FF">
              <w:rPr>
                <w:rFonts w:cs="Times New Roman"/>
                <w:szCs w:val="24"/>
              </w:rPr>
              <w:lastRenderedPageBreak/>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Pr>
                <w:rFonts w:cs="Times New Roman"/>
                <w:szCs w:val="24"/>
              </w:rPr>
              <w:t>.</w:t>
            </w:r>
            <w:bookmarkEnd w:id="35"/>
          </w:p>
          <w:p w:rsidR="00A35796" w:rsidRPr="002B60ED" w:rsidRDefault="00A35796" w:rsidP="00B30004"/>
        </w:tc>
      </w:tr>
    </w:tbl>
    <w:p w:rsidR="00A35796" w:rsidRPr="003E1FA9" w:rsidRDefault="00A35796" w:rsidP="00A35796">
      <w:pPr>
        <w:pStyle w:val="1"/>
        <w:jc w:val="both"/>
        <w:rPr>
          <w:szCs w:val="24"/>
        </w:rPr>
      </w:pPr>
      <w:bookmarkStart w:id="36" w:name="_Toc526320302"/>
      <w:r w:rsidRPr="003E1FA9">
        <w:rPr>
          <w:szCs w:val="24"/>
        </w:rPr>
        <w:lastRenderedPageBreak/>
        <w:t>23. Начин на подаване на проектните предложения/концепциите за проектни предложения:</w:t>
      </w:r>
      <w:bookmarkEnd w:id="3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w:t>
            </w:r>
            <w:r w:rsidRPr="003E1FA9">
              <w:rPr>
                <w:rFonts w:ascii="Times New Roman" w:eastAsia="Times New Roman" w:hAnsi="Times New Roman" w:cs="Times New Roman"/>
                <w:sz w:val="24"/>
                <w:szCs w:val="24"/>
                <w:shd w:val="clear" w:color="auto" w:fill="FEFEFE"/>
              </w:rPr>
              <w:lastRenderedPageBreak/>
              <w:t>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w:t>
            </w:r>
            <w:r w:rsidRPr="003E1FA9">
              <w:rPr>
                <w:rFonts w:ascii="Times New Roman" w:eastAsia="Times New Roman" w:hAnsi="Times New Roman" w:cs="Times New Roman"/>
                <w:sz w:val="24"/>
                <w:szCs w:val="24"/>
                <w:shd w:val="clear" w:color="auto" w:fill="FEFEFE"/>
              </w:rPr>
              <w:lastRenderedPageBreak/>
              <w:t>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Pr="003E1FA9">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A35796" w:rsidRPr="003E1FA9" w:rsidRDefault="00A35796" w:rsidP="00B30004">
            <w:pPr>
              <w:jc w:val="both"/>
              <w:rPr>
                <w:sz w:val="24"/>
                <w:szCs w:val="24"/>
                <w:lang w:val="ru-RU"/>
              </w:rPr>
            </w:pPr>
          </w:p>
        </w:tc>
      </w:tr>
    </w:tbl>
    <w:p w:rsidR="00A35796" w:rsidRPr="00E839DF" w:rsidRDefault="00A35796" w:rsidP="00A35796">
      <w:pPr>
        <w:pStyle w:val="1"/>
        <w:rPr>
          <w:rFonts w:cs="Times New Roman"/>
          <w:szCs w:val="24"/>
        </w:rPr>
      </w:pPr>
      <w:bookmarkStart w:id="37" w:name="_Toc496871837"/>
      <w:bookmarkStart w:id="38" w:name="_Toc526320303"/>
      <w:r w:rsidRPr="00E839DF">
        <w:rPr>
          <w:rFonts w:cs="Times New Roman"/>
          <w:szCs w:val="24"/>
        </w:rPr>
        <w:lastRenderedPageBreak/>
        <w:t>24. Списък на документите, които се подават на етап кандидатстване:</w:t>
      </w:r>
      <w:bookmarkEnd w:id="37"/>
      <w:bookmarkEnd w:id="38"/>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a9"/>
        <w:tblW w:w="9918" w:type="dxa"/>
        <w:tblLook w:val="04A0" w:firstRow="1" w:lastRow="0" w:firstColumn="1" w:lastColumn="0" w:noHBand="0" w:noVBand="1"/>
      </w:tblPr>
      <w:tblGrid>
        <w:gridCol w:w="9918"/>
      </w:tblGrid>
      <w:tr w:rsidR="00A35796" w:rsidRPr="00FE55B3" w:rsidTr="00E839DF">
        <w:tc>
          <w:tcPr>
            <w:tcW w:w="9918" w:type="dxa"/>
          </w:tcPr>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w:t>
            </w:r>
            <w:r w:rsidRPr="00240351">
              <w:rPr>
                <w:rFonts w:ascii="Times New Roman" w:eastAsia="Times New Roman" w:hAnsi="Times New Roman" w:cs="Times New Roman"/>
                <w:sz w:val="24"/>
                <w:szCs w:val="24"/>
                <w:shd w:val="clear" w:color="auto" w:fill="FEFEFE"/>
              </w:rPr>
              <w:tab/>
              <w:t xml:space="preserve">Основната информация за проектното предложение, във формат „pdf”, jpg“.  подписан и сканиран от кандидата. </w:t>
            </w:r>
            <w:r w:rsidR="00A944A9">
              <w:rPr>
                <w:rFonts w:ascii="Times New Roman" w:eastAsia="Times New Roman" w:hAnsi="Times New Roman" w:cs="Times New Roman"/>
                <w:sz w:val="24"/>
                <w:szCs w:val="24"/>
                <w:shd w:val="clear" w:color="auto" w:fill="FEFEFE"/>
              </w:rPr>
              <w:t>(Приложение № 1) 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2.</w:t>
            </w:r>
            <w:r w:rsidRPr="00240351">
              <w:rPr>
                <w:rFonts w:ascii="Times New Roman" w:eastAsia="Times New Roman" w:hAnsi="Times New Roman" w:cs="Times New Roman"/>
                <w:sz w:val="24"/>
                <w:szCs w:val="24"/>
                <w:shd w:val="clear" w:color="auto" w:fill="FEFEFE"/>
              </w:rPr>
              <w:tab/>
              <w:t>Таблица за допустими инвестиции във формат „pdf”,</w:t>
            </w:r>
            <w:r>
              <w:t xml:space="preserve"> </w:t>
            </w:r>
            <w:r w:rsidRPr="00735285">
              <w:rPr>
                <w:rFonts w:ascii="Times New Roman" w:eastAsia="Times New Roman" w:hAnsi="Times New Roman" w:cs="Times New Roman"/>
                <w:sz w:val="24"/>
                <w:szCs w:val="24"/>
                <w:shd w:val="clear" w:color="auto" w:fill="FEFEFE"/>
              </w:rPr>
              <w:t xml:space="preserve">jpg“.  </w:t>
            </w:r>
            <w:r w:rsidRPr="00240351">
              <w:rPr>
                <w:rFonts w:ascii="Times New Roman" w:eastAsia="Times New Roman" w:hAnsi="Times New Roman" w:cs="Times New Roman"/>
                <w:sz w:val="24"/>
                <w:szCs w:val="24"/>
                <w:shd w:val="clear" w:color="auto" w:fill="FEFEFE"/>
              </w:rPr>
              <w:t xml:space="preserve">подписан и сканиран от кандидата, както и , по образец на ДФЗ </w:t>
            </w:r>
            <w:r w:rsidR="00A944A9">
              <w:rPr>
                <w:rFonts w:ascii="Times New Roman" w:eastAsia="Times New Roman" w:hAnsi="Times New Roman" w:cs="Times New Roman"/>
                <w:sz w:val="24"/>
                <w:szCs w:val="24"/>
                <w:shd w:val="clear" w:color="auto" w:fill="FEFEFE"/>
              </w:rPr>
              <w:t>(Приложение № 1</w:t>
            </w:r>
            <w:r w:rsidR="007468D6">
              <w:rPr>
                <w:rFonts w:ascii="Times New Roman" w:eastAsia="Times New Roman" w:hAnsi="Times New Roman" w:cs="Times New Roman"/>
                <w:sz w:val="24"/>
                <w:szCs w:val="24"/>
                <w:shd w:val="clear" w:color="auto" w:fill="FEFEFE"/>
              </w:rPr>
              <w:t>3</w:t>
            </w:r>
            <w:r w:rsidR="00A944A9">
              <w:rPr>
                <w:rFonts w:ascii="Times New Roman" w:eastAsia="Times New Roman" w:hAnsi="Times New Roman" w:cs="Times New Roman"/>
                <w:sz w:val="24"/>
                <w:szCs w:val="24"/>
                <w:shd w:val="clear" w:color="auto" w:fill="FEFEFE"/>
              </w:rPr>
              <w:t>) от</w:t>
            </w:r>
            <w:r w:rsidR="00A944A9">
              <w:t xml:space="preserve"> </w:t>
            </w:r>
            <w:r w:rsidR="00A944A9" w:rsidRPr="00A944A9">
              <w:rPr>
                <w:rFonts w:ascii="Times New Roman" w:eastAsia="Times New Roman" w:hAnsi="Times New Roman" w:cs="Times New Roman"/>
                <w:sz w:val="24"/>
                <w:szCs w:val="24"/>
                <w:shd w:val="clear" w:color="auto" w:fill="FEFEFE"/>
              </w:rPr>
              <w:t>„Документи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3.</w:t>
            </w:r>
            <w:r w:rsidRPr="00240351">
              <w:rPr>
                <w:rFonts w:ascii="Times New Roman" w:eastAsia="Times New Roman" w:hAnsi="Times New Roman" w:cs="Times New Roman"/>
                <w:sz w:val="24"/>
                <w:szCs w:val="24"/>
                <w:shd w:val="clear" w:color="auto" w:fill="FEFEFE"/>
              </w:rPr>
              <w:tab/>
              <w:t>Нотариално заверено изрично пълномощно, в случай че документите не се подават лично от кандидата, а за кандидат - община - заповед на кмета. Представ</w:t>
            </w:r>
            <w:r w:rsidR="00F646F0">
              <w:rPr>
                <w:rFonts w:ascii="Times New Roman" w:eastAsia="Times New Roman" w:hAnsi="Times New Roman" w:cs="Times New Roman"/>
                <w:sz w:val="24"/>
                <w:szCs w:val="24"/>
                <w:shd w:val="clear" w:color="auto" w:fill="FEFEFE"/>
              </w:rPr>
              <w:t>я се във формат „pdf“ или „jpg“,</w:t>
            </w:r>
            <w:r w:rsidRPr="00240351">
              <w:rPr>
                <w:rFonts w:ascii="Times New Roman" w:eastAsia="Times New Roman" w:hAnsi="Times New Roman" w:cs="Times New Roman"/>
                <w:sz w:val="24"/>
                <w:szCs w:val="24"/>
                <w:shd w:val="clear" w:color="auto" w:fill="FEFEFE"/>
              </w:rPr>
              <w:t xml:space="preserve">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 xml:space="preserve">4.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5.</w:t>
            </w:r>
            <w:r w:rsidRPr="00240351">
              <w:rPr>
                <w:rFonts w:ascii="Times New Roman" w:eastAsia="Times New Roman" w:hAnsi="Times New Roman" w:cs="Times New Roman"/>
                <w:sz w:val="24"/>
                <w:szCs w:val="24"/>
                <w:shd w:val="clear" w:color="auto" w:fill="FEFEFE"/>
              </w:rPr>
              <w:tab/>
              <w:t xml:space="preserve">Документ, издаден от обслужващата банка за банковата сметка на кандидата. </w:t>
            </w:r>
            <w:r w:rsidRPr="00240351">
              <w:rPr>
                <w:rFonts w:ascii="Times New Roman" w:eastAsia="Times New Roman" w:hAnsi="Times New Roman" w:cs="Times New Roman"/>
                <w:sz w:val="24"/>
                <w:szCs w:val="24"/>
                <w:shd w:val="clear" w:color="auto" w:fill="FEFEFE"/>
              </w:rPr>
              <w:lastRenderedPageBreak/>
              <w:t>Представя се във формат „pdf”.</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6.</w:t>
            </w:r>
            <w:r w:rsidRPr="00240351">
              <w:rPr>
                <w:rFonts w:ascii="Times New Roman" w:eastAsia="Times New Roman" w:hAnsi="Times New Roman" w:cs="Times New Roman"/>
                <w:sz w:val="24"/>
                <w:szCs w:val="24"/>
                <w:shd w:val="clear" w:color="auto" w:fill="FEFEFE"/>
              </w:rPr>
              <w:tab/>
              <w:t>Свидетелство за съдимост от представляващия/те кандидата; издадено не по-късно от 1 месеца преди представянето</w:t>
            </w:r>
            <w:r w:rsidR="007C581B">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му; Представя се във формат „pdf”.</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7.</w:t>
            </w:r>
            <w:r w:rsidRPr="00240351">
              <w:rPr>
                <w:rFonts w:ascii="Times New Roman" w:eastAsia="Times New Roman" w:hAnsi="Times New Roman" w:cs="Times New Roman"/>
                <w:sz w:val="24"/>
                <w:szCs w:val="24"/>
                <w:shd w:val="clear" w:color="auto" w:fill="FEFEFE"/>
              </w:rPr>
              <w:tab/>
              <w:t>Декларация за нередности с подпис/и, печат и сканирана във формат „pdf“ или „jpg</w:t>
            </w:r>
            <w:r w:rsidR="00DF5BD1">
              <w:rPr>
                <w:rFonts w:ascii="Times New Roman" w:eastAsia="Times New Roman" w:hAnsi="Times New Roman" w:cs="Times New Roman"/>
                <w:sz w:val="24"/>
                <w:szCs w:val="24"/>
                <w:shd w:val="clear" w:color="auto" w:fill="FEFEFE"/>
              </w:rPr>
              <w:t>“. (Приложение № 3)</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8.</w:t>
            </w:r>
            <w:r w:rsidRPr="00240351">
              <w:rPr>
                <w:rFonts w:ascii="Times New Roman" w:eastAsia="Times New Roman" w:hAnsi="Times New Roman" w:cs="Times New Roman"/>
                <w:sz w:val="24"/>
                <w:szCs w:val="24"/>
                <w:shd w:val="clear" w:color="auto" w:fill="FEFEFE"/>
              </w:rPr>
              <w:tab/>
              <w:t xml:space="preserve">Декларация съгласно Приложение № 6 от наредба 22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 xml:space="preserve">(Приложение № 6) </w:t>
            </w:r>
            <w:r w:rsidR="00F646F0" w:rsidRPr="00F646F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color w:val="FF0000"/>
                <w:sz w:val="24"/>
                <w:szCs w:val="24"/>
                <w:shd w:val="clear" w:color="auto" w:fill="FEFEFE"/>
              </w:rPr>
            </w:pPr>
            <w:r w:rsidRPr="00240351">
              <w:rPr>
                <w:rFonts w:ascii="Times New Roman" w:eastAsia="Times New Roman" w:hAnsi="Times New Roman" w:cs="Times New Roman"/>
                <w:sz w:val="24"/>
                <w:szCs w:val="24"/>
                <w:shd w:val="clear" w:color="auto" w:fill="FEFEFE"/>
              </w:rPr>
              <w:t>9.</w:t>
            </w:r>
            <w:r w:rsidRPr="00240351">
              <w:rPr>
                <w:rFonts w:ascii="Times New Roman" w:eastAsia="Times New Roman" w:hAnsi="Times New Roman" w:cs="Times New Roman"/>
                <w:sz w:val="24"/>
                <w:szCs w:val="24"/>
                <w:shd w:val="clear" w:color="auto" w:fill="FEFEFE"/>
              </w:rPr>
              <w:tab/>
              <w:t xml:space="preserve">Декларация по чл. 19 и 20 от Закона за защита на личните данни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(Приложение № 4)</w:t>
            </w:r>
            <w:r w:rsidR="00B3571B">
              <w:t xml:space="preserve"> </w:t>
            </w:r>
            <w:r w:rsidR="00B3571B" w:rsidRPr="00B3571B">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10.</w:t>
            </w:r>
            <w:r w:rsidRPr="00240351">
              <w:rPr>
                <w:rFonts w:ascii="Times New Roman" w:eastAsia="Times New Roman" w:hAnsi="Times New Roman" w:cs="Times New Roman"/>
                <w:sz w:val="24"/>
                <w:szCs w:val="24"/>
                <w:shd w:val="clear" w:color="auto" w:fill="FEFEFE"/>
              </w:rPr>
              <w:tab/>
              <w:t xml:space="preserve">Декларация в оригинал по чл. 4а, ал. 1 Закона за малките и средните предприятия </w:t>
            </w:r>
            <w:r w:rsidR="00A92D84">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когато е приложимо; с подпис/и, печат и сканирана във формат „pdf“ или „jpg“. Декларацията се попълва само от кандидати НПО и читалища</w:t>
            </w:r>
            <w:r w:rsidRPr="00E42FA9">
              <w:rPr>
                <w:rFonts w:ascii="Times New Roman" w:eastAsia="Times New Roman" w:hAnsi="Times New Roman" w:cs="Times New Roman"/>
                <w:sz w:val="24"/>
                <w:szCs w:val="24"/>
                <w:shd w:val="clear" w:color="auto" w:fill="FEFEFE"/>
              </w:rPr>
              <w:t>./ (Приложение № 1</w:t>
            </w:r>
            <w:r w:rsidR="00A215EC">
              <w:rPr>
                <w:rFonts w:ascii="Times New Roman" w:eastAsia="Times New Roman" w:hAnsi="Times New Roman" w:cs="Times New Roman"/>
                <w:sz w:val="24"/>
                <w:szCs w:val="24"/>
                <w:shd w:val="clear" w:color="auto" w:fill="FEFEFE"/>
              </w:rPr>
              <w:t>5</w:t>
            </w:r>
            <w:r w:rsidRPr="00E42FA9">
              <w:rPr>
                <w:rFonts w:ascii="Times New Roman" w:eastAsia="Times New Roman" w:hAnsi="Times New Roman" w:cs="Times New Roman"/>
                <w:sz w:val="24"/>
                <w:szCs w:val="24"/>
                <w:shd w:val="clear" w:color="auto" w:fill="FEFEFE"/>
              </w:rPr>
              <w:t>)</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11.</w:t>
            </w:r>
            <w:r w:rsidRPr="00240351">
              <w:rPr>
                <w:rFonts w:ascii="Times New Roman" w:eastAsia="Times New Roman" w:hAnsi="Times New Roman" w:cs="Times New Roman"/>
                <w:sz w:val="24"/>
                <w:szCs w:val="24"/>
                <w:shd w:val="clear" w:color="auto" w:fill="FEFEFE"/>
              </w:rPr>
              <w:tab/>
              <w:t xml:space="preserve">Декларация за  липса двойно финансиране и изкуствено създадени условия с подпис/и, печат и сканирана във формат „pdf“ или „jpg“.  </w:t>
            </w:r>
            <w:r w:rsidRPr="00E42FA9">
              <w:rPr>
                <w:rFonts w:ascii="Times New Roman" w:eastAsia="Times New Roman" w:hAnsi="Times New Roman" w:cs="Times New Roman"/>
                <w:sz w:val="24"/>
                <w:szCs w:val="24"/>
                <w:shd w:val="clear" w:color="auto" w:fill="FEFEFE"/>
              </w:rPr>
              <w:t>(Приложение № 8)</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12.</w:t>
            </w:r>
            <w:r w:rsidRPr="00240351">
              <w:rPr>
                <w:rFonts w:ascii="Times New Roman" w:eastAsia="Times New Roman" w:hAnsi="Times New Roman" w:cs="Times New Roman"/>
                <w:sz w:val="24"/>
                <w:szCs w:val="24"/>
                <w:shd w:val="clear" w:color="auto" w:fill="FEFEFE"/>
              </w:rPr>
              <w:tab/>
              <w:t xml:space="preserve">Декларации за размера на получените държавни и минимални помощи с подпис/и, печат и сканирана във формат „pdf“ или „jpg“.  </w:t>
            </w:r>
            <w:r w:rsidR="007C1BDC">
              <w:rPr>
                <w:rFonts w:ascii="Times New Roman" w:eastAsia="Times New Roman" w:hAnsi="Times New Roman" w:cs="Times New Roman"/>
                <w:sz w:val="24"/>
                <w:szCs w:val="24"/>
                <w:shd w:val="clear" w:color="auto" w:fill="FEFEFE"/>
              </w:rPr>
              <w:t>(Приложение № 7)</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13.</w:t>
            </w:r>
            <w:r w:rsidRPr="00240351">
              <w:rPr>
                <w:rFonts w:ascii="Times New Roman" w:eastAsia="Times New Roman" w:hAnsi="Times New Roman" w:cs="Times New Roman"/>
                <w:sz w:val="24"/>
                <w:szCs w:val="24"/>
                <w:shd w:val="clear" w:color="auto" w:fill="FEFEFE"/>
              </w:rPr>
              <w:tab/>
              <w:t xml:space="preserve">Декларация НСИ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2)</w:t>
            </w:r>
            <w:r w:rsidR="000C4400">
              <w:t xml:space="preserve"> </w:t>
            </w:r>
            <w:r w:rsidR="000C4400" w:rsidRPr="000C440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14.</w:t>
            </w:r>
            <w:r w:rsidRPr="00240351">
              <w:rPr>
                <w:rFonts w:ascii="Times New Roman" w:eastAsia="Times New Roman" w:hAnsi="Times New Roman" w:cs="Times New Roman"/>
                <w:sz w:val="24"/>
                <w:szCs w:val="24"/>
                <w:shd w:val="clear" w:color="auto" w:fill="FEFEFE"/>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240351">
              <w:t xml:space="preserve"> </w:t>
            </w:r>
            <w:r w:rsidRPr="00240351">
              <w:rPr>
                <w:rFonts w:ascii="Times New Roman" w:eastAsia="Times New Roman" w:hAnsi="Times New Roman" w:cs="Times New Roman"/>
                <w:sz w:val="24"/>
                <w:szCs w:val="24"/>
                <w:shd w:val="clear" w:color="auto" w:fill="FEFEFE"/>
              </w:rPr>
              <w:t>с подпис/и, печат и сканирана във формат „pdf“ или „jpg“.</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15.</w:t>
            </w:r>
            <w:r w:rsidRPr="00240351">
              <w:rPr>
                <w:rFonts w:ascii="Times New Roman" w:eastAsia="Times New Roman" w:hAnsi="Times New Roman" w:cs="Times New Roman"/>
                <w:sz w:val="24"/>
                <w:szCs w:val="24"/>
                <w:shd w:val="clear" w:color="auto" w:fill="FEFEFE"/>
              </w:rPr>
              <w:tab/>
              <w:t xml:space="preserve">Декларация за неприложими документи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9)</w:t>
            </w:r>
            <w:r w:rsidR="000C4400">
              <w:t xml:space="preserve"> </w:t>
            </w:r>
            <w:r w:rsidR="000C4400" w:rsidRPr="000C4400">
              <w:rPr>
                <w:rFonts w:ascii="Times New Roman" w:eastAsia="Times New Roman" w:hAnsi="Times New Roman" w:cs="Times New Roman"/>
                <w:sz w:val="24"/>
                <w:szCs w:val="24"/>
                <w:shd w:val="clear" w:color="auto" w:fill="FEFEFE"/>
              </w:rPr>
              <w:t xml:space="preserve">от „Документи за попълване“ към Условия за </w:t>
            </w:r>
            <w:r w:rsidR="000C4400" w:rsidRPr="000C4400">
              <w:rPr>
                <w:rFonts w:ascii="Times New Roman" w:eastAsia="Times New Roman" w:hAnsi="Times New Roman" w:cs="Times New Roman"/>
                <w:sz w:val="24"/>
                <w:szCs w:val="24"/>
                <w:shd w:val="clear" w:color="auto" w:fill="FEFEFE"/>
              </w:rPr>
              <w:lastRenderedPageBreak/>
              <w:t>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16.</w:t>
            </w:r>
            <w:r w:rsidRPr="00240351">
              <w:rPr>
                <w:rFonts w:ascii="Times New Roman" w:eastAsia="Times New Roman" w:hAnsi="Times New Roman" w:cs="Times New Roman"/>
                <w:sz w:val="24"/>
                <w:szCs w:val="24"/>
                <w:shd w:val="clear" w:color="auto" w:fill="FEFEFE"/>
              </w:rPr>
              <w:tab/>
              <w:t xml:space="preserve">Декларация по чл. 25, ал. 2 от ЗУСЕСИФ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5)</w:t>
            </w:r>
            <w:r w:rsidR="004A41C8">
              <w:rPr>
                <w:rFonts w:ascii="Times New Roman" w:eastAsia="Times New Roman" w:hAnsi="Times New Roman" w:cs="Times New Roman"/>
                <w:sz w:val="24"/>
                <w:szCs w:val="24"/>
                <w:shd w:val="clear" w:color="auto" w:fill="FEFEFE"/>
              </w:rPr>
              <w:t xml:space="preserve"> </w:t>
            </w:r>
            <w:r w:rsidR="004A41C8" w:rsidRPr="004A41C8">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Default="00A35796" w:rsidP="00B30004">
            <w:pPr>
              <w:jc w:val="both"/>
            </w:pPr>
            <w:r w:rsidRPr="001D5DA0">
              <w:rPr>
                <w:rFonts w:ascii="Times New Roman" w:hAnsi="Times New Roman" w:cs="Times New Roman"/>
                <w:sz w:val="24"/>
                <w:szCs w:val="24"/>
                <w:lang w:val="ru-RU"/>
              </w:rPr>
              <w:t>17</w:t>
            </w:r>
            <w:r w:rsidRPr="00240351">
              <w:rPr>
                <w:rFonts w:ascii="Times New Roman" w:hAnsi="Times New Roman" w:cs="Times New Roman"/>
                <w:sz w:val="24"/>
                <w:szCs w:val="24"/>
              </w:rPr>
              <w:t>.Решение на компетентния орган на юридическото лице за кандидатстване по ПРСР</w:t>
            </w:r>
            <w:r>
              <w:t xml:space="preserve"> </w:t>
            </w:r>
            <w:r w:rsidRPr="000F45AD">
              <w:rPr>
                <w:rFonts w:ascii="Times New Roman" w:hAnsi="Times New Roman" w:cs="Times New Roman"/>
                <w:sz w:val="24"/>
                <w:szCs w:val="24"/>
              </w:rPr>
              <w:t>Представя се във формат „pdf“</w:t>
            </w:r>
            <w:r>
              <w:rPr>
                <w:rFonts w:ascii="Times New Roman" w:hAnsi="Times New Roman" w:cs="Times New Roman"/>
                <w:sz w:val="24"/>
                <w:szCs w:val="24"/>
              </w:rPr>
              <w:t xml:space="preserve"> </w:t>
            </w:r>
            <w:r w:rsidRPr="000F45AD">
              <w:rPr>
                <w:rFonts w:ascii="Times New Roman" w:hAnsi="Times New Roman" w:cs="Times New Roman"/>
                <w:sz w:val="24"/>
                <w:szCs w:val="24"/>
              </w:rPr>
              <w:t xml:space="preserve"> или „jpg“.</w:t>
            </w:r>
            <w:r>
              <w:rPr>
                <w:rFonts w:ascii="Times New Roman" w:hAnsi="Times New Roman" w:cs="Times New Roman"/>
                <w:sz w:val="24"/>
                <w:szCs w:val="24"/>
              </w:rPr>
              <w:t xml:space="preserve"> </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18.</w:t>
            </w:r>
            <w:r w:rsidRPr="004052BD">
              <w:rPr>
                <w:rFonts w:ascii="Times New Roman" w:hAnsi="Times New Roman" w:cs="Times New Roman"/>
                <w:sz w:val="24"/>
                <w:szCs w:val="24"/>
              </w:rPr>
              <w:t>Решение на общинския съвет, че дейностите, включени в проектите, съответстват на приоритетите на общинския план за развитие на община</w:t>
            </w:r>
            <w:r>
              <w:rPr>
                <w:rFonts w:ascii="Times New Roman" w:hAnsi="Times New Roman" w:cs="Times New Roman"/>
                <w:sz w:val="24"/>
                <w:szCs w:val="24"/>
              </w:rPr>
              <w:t xml:space="preserve">та. </w:t>
            </w:r>
            <w:r>
              <w:t xml:space="preserve"> </w:t>
            </w:r>
            <w:r w:rsidRPr="00C25958">
              <w:rPr>
                <w:rFonts w:ascii="Times New Roman" w:hAnsi="Times New Roman" w:cs="Times New Roman"/>
                <w:sz w:val="24"/>
                <w:szCs w:val="24"/>
              </w:rPr>
              <w:t>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19</w:t>
            </w:r>
            <w:r w:rsidRPr="00240351">
              <w:rPr>
                <w:rFonts w:ascii="Times New Roman" w:hAnsi="Times New Roman" w:cs="Times New Roman"/>
                <w:sz w:val="24"/>
                <w:szCs w:val="24"/>
              </w:rPr>
              <w:t>. Решение на общинския съвет за кандидатстване по реда на настоящите Условия за кандидатс</w:t>
            </w:r>
            <w:r>
              <w:rPr>
                <w:rFonts w:ascii="Times New Roman" w:hAnsi="Times New Roman" w:cs="Times New Roman"/>
                <w:sz w:val="24"/>
                <w:szCs w:val="24"/>
              </w:rPr>
              <w:t>т</w:t>
            </w:r>
            <w:r w:rsidRPr="00240351">
              <w:rPr>
                <w:rFonts w:ascii="Times New Roman" w:hAnsi="Times New Roman" w:cs="Times New Roman"/>
                <w:sz w:val="24"/>
                <w:szCs w:val="24"/>
              </w:rPr>
              <w:t>ване</w:t>
            </w:r>
            <w:r>
              <w:rPr>
                <w:rFonts w:ascii="Times New Roman" w:hAnsi="Times New Roman" w:cs="Times New Roman"/>
                <w:sz w:val="24"/>
                <w:szCs w:val="24"/>
              </w:rPr>
              <w:t xml:space="preserve"> </w:t>
            </w:r>
            <w:r w:rsidRPr="001D5DA0">
              <w:rPr>
                <w:rFonts w:ascii="Times New Roman" w:hAnsi="Times New Roman" w:cs="Times New Roman"/>
                <w:sz w:val="24"/>
                <w:szCs w:val="24"/>
                <w:lang w:val="ru-RU"/>
              </w:rPr>
              <w:t>/</w:t>
            </w:r>
            <w:r>
              <w:rPr>
                <w:rFonts w:ascii="Times New Roman" w:hAnsi="Times New Roman" w:cs="Times New Roman"/>
                <w:sz w:val="24"/>
                <w:szCs w:val="24"/>
              </w:rPr>
              <w:t>приложимо за кандидат община/.</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20</w:t>
            </w:r>
            <w:r w:rsidRPr="00240351">
              <w:rPr>
                <w:rFonts w:ascii="Times New Roman" w:hAnsi="Times New Roman" w:cs="Times New Roman"/>
                <w:sz w:val="24"/>
                <w:szCs w:val="24"/>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група./за кандидати общини/ 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2</w:t>
            </w:r>
            <w:r w:rsidRPr="00240351">
              <w:rPr>
                <w:rFonts w:ascii="Times New Roman" w:hAnsi="Times New Roman" w:cs="Times New Roman"/>
                <w:sz w:val="24"/>
                <w:szCs w:val="24"/>
              </w:rPr>
              <w:t>.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.Разрешително за водовземанен и/или разрешително за ползване на воден обект, в случаите, предвидени в Закона за водите(когато е приложимо</w:t>
            </w:r>
            <w:r>
              <w:rPr>
                <w:rFonts w:ascii="Times New Roman" w:hAnsi="Times New Roman" w:cs="Times New Roman"/>
                <w:sz w:val="24"/>
                <w:szCs w:val="24"/>
              </w:rPr>
              <w:t>)</w:t>
            </w:r>
            <w:r w:rsidRPr="00240351">
              <w:rPr>
                <w:rFonts w:ascii="Times New Roman" w:hAnsi="Times New Roman" w:cs="Times New Roman"/>
                <w:sz w:val="24"/>
                <w:szCs w:val="24"/>
              </w:rPr>
              <w:t>.</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 xml:space="preserve">.Лицензи, разрешения и/или друг документ, удостоверяващ регистрацията за дейностите и </w:t>
            </w:r>
            <w:r w:rsidRPr="00240351">
              <w:rPr>
                <w:rFonts w:ascii="Times New Roman" w:hAnsi="Times New Roman" w:cs="Times New Roman"/>
                <w:sz w:val="24"/>
                <w:szCs w:val="24"/>
              </w:rPr>
              <w:lastRenderedPageBreak/>
              <w:t>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AD66F0" w:rsidRPr="001D5DA0">
              <w:rPr>
                <w:rFonts w:ascii="Times New Roman" w:hAnsi="Times New Roman" w:cs="Times New Roman"/>
                <w:sz w:val="24"/>
                <w:szCs w:val="24"/>
                <w:lang w:val="ru-RU"/>
              </w:rPr>
              <w:t>(</w:t>
            </w:r>
            <w:r>
              <w:rPr>
                <w:rFonts w:ascii="Times New Roman" w:hAnsi="Times New Roman" w:cs="Times New Roman"/>
                <w:sz w:val="24"/>
                <w:szCs w:val="24"/>
              </w:rPr>
              <w:t>когато е приложимо)</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7E31A6">
              <w:rPr>
                <w:rFonts w:ascii="Times New Roman" w:hAnsi="Times New Roman" w:cs="Times New Roman"/>
                <w:sz w:val="24"/>
                <w:szCs w:val="24"/>
              </w:rPr>
              <w:t xml:space="preserve">./когато е приложимо)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6</w:t>
            </w:r>
            <w:r w:rsidRPr="00240351">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28</w:t>
            </w:r>
            <w:r w:rsidRPr="00240351">
              <w:rPr>
                <w:rFonts w:ascii="Times New Roman" w:hAnsi="Times New Roman" w:cs="Times New Roman"/>
                <w:sz w:val="24"/>
                <w:szCs w:val="24"/>
              </w:rPr>
              <w:t xml:space="preserve">. Анализ за социално-икономическите ползи за развитието на селския район и устойчивостта на инвестицията, когато е приложимо съгласно </w:t>
            </w:r>
            <w:r w:rsidRPr="00C54E88">
              <w:rPr>
                <w:rFonts w:ascii="Times New Roman" w:hAnsi="Times New Roman" w:cs="Times New Roman"/>
                <w:sz w:val="24"/>
                <w:szCs w:val="24"/>
              </w:rPr>
              <w:t xml:space="preserve">/Приложение № </w:t>
            </w:r>
            <w:r w:rsidR="000806B4">
              <w:rPr>
                <w:rFonts w:ascii="Times New Roman" w:hAnsi="Times New Roman" w:cs="Times New Roman"/>
                <w:sz w:val="24"/>
                <w:szCs w:val="24"/>
              </w:rPr>
              <w:t>10</w:t>
            </w:r>
            <w:r w:rsidRPr="00240351">
              <w:rPr>
                <w:rFonts w:ascii="Times New Roman" w:hAnsi="Times New Roman" w:cs="Times New Roman"/>
                <w:sz w:val="24"/>
                <w:szCs w:val="24"/>
              </w:rPr>
              <w:t>/</w:t>
            </w:r>
            <w:r w:rsidR="0074742A">
              <w:rPr>
                <w:rFonts w:ascii="Times New Roman" w:hAnsi="Times New Roman" w:cs="Times New Roman"/>
                <w:sz w:val="24"/>
                <w:szCs w:val="24"/>
              </w:rPr>
              <w:t xml:space="preserve">, от </w:t>
            </w:r>
            <w:r w:rsidR="00A548BC">
              <w:rPr>
                <w:rFonts w:ascii="Times New Roman" w:hAnsi="Times New Roman" w:cs="Times New Roman"/>
                <w:sz w:val="24"/>
                <w:szCs w:val="24"/>
              </w:rPr>
              <w:t>„</w:t>
            </w:r>
            <w:r w:rsid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 Представя се във формат „pdf“</w:t>
            </w:r>
            <w:r>
              <w:t xml:space="preserve"> </w:t>
            </w:r>
            <w:r w:rsidRPr="00884053">
              <w:rPr>
                <w:rFonts w:ascii="Times New Roman" w:hAnsi="Times New Roman" w:cs="Times New Roman"/>
                <w:sz w:val="24"/>
                <w:szCs w:val="24"/>
              </w:rPr>
              <w:t>или „jpg“.</w:t>
            </w:r>
            <w:r w:rsidRPr="00240351">
              <w:rPr>
                <w:rFonts w:ascii="Times New Roman" w:hAnsi="Times New Roman" w:cs="Times New Roman"/>
                <w:sz w:val="24"/>
                <w:szCs w:val="24"/>
              </w:rP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29</w:t>
            </w:r>
            <w:r w:rsidRPr="00240351">
              <w:rPr>
                <w:rFonts w:ascii="Times New Roman" w:hAnsi="Times New Roman" w:cs="Times New Roman"/>
                <w:sz w:val="24"/>
                <w:szCs w:val="24"/>
              </w:rPr>
              <w:t>.  Анализ разходи –ползи ( финансов анализ)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1</w:t>
            </w:r>
            <w:r w:rsidRPr="00240351">
              <w:rPr>
                <w:rFonts w:ascii="Times New Roman" w:hAnsi="Times New Roman" w:cs="Times New Roman"/>
                <w:sz w:val="24"/>
                <w:szCs w:val="24"/>
              </w:rPr>
              <w:t xml:space="preserve">/ </w:t>
            </w:r>
            <w:r w:rsidR="0074742A" w:rsidRPr="0074742A">
              <w:rPr>
                <w:rFonts w:ascii="Times New Roman" w:hAnsi="Times New Roman" w:cs="Times New Roman"/>
                <w:sz w:val="24"/>
                <w:szCs w:val="24"/>
              </w:rPr>
              <w:t xml:space="preserve">от </w:t>
            </w:r>
            <w:r w:rsidR="00A548BC">
              <w:rPr>
                <w:rFonts w:ascii="Times New Roman" w:hAnsi="Times New Roman" w:cs="Times New Roman"/>
                <w:sz w:val="24"/>
                <w:szCs w:val="24"/>
              </w:rPr>
              <w:t>„</w:t>
            </w:r>
            <w:r w:rsidR="0074742A" w:rsidRP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sidRP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30</w:t>
            </w:r>
            <w:r w:rsidRPr="00240351">
              <w:rPr>
                <w:rFonts w:ascii="Times New Roman" w:hAnsi="Times New Roman" w:cs="Times New Roman"/>
                <w:sz w:val="24"/>
                <w:szCs w:val="24"/>
              </w:rPr>
              <w:t xml:space="preserve">.Анализ разходи –ползи </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таблица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2</w:t>
            </w:r>
            <w:r w:rsidRPr="00240351">
              <w:rPr>
                <w:rFonts w:ascii="Times New Roman" w:hAnsi="Times New Roman" w:cs="Times New Roman"/>
                <w:sz w:val="24"/>
                <w:szCs w:val="24"/>
              </w:rPr>
              <w:t>/</w:t>
            </w:r>
            <w:r w:rsidR="00A548BC">
              <w:t xml:space="preserve"> </w:t>
            </w:r>
            <w:r w:rsidR="00A548BC" w:rsidRPr="00A548BC">
              <w:rPr>
                <w:rFonts w:ascii="Times New Roman" w:hAnsi="Times New Roman" w:cs="Times New Roman"/>
                <w:sz w:val="24"/>
                <w:szCs w:val="24"/>
              </w:rPr>
              <w:t xml:space="preserve">от </w:t>
            </w:r>
            <w:r w:rsidR="00A548BC">
              <w:rPr>
                <w:rFonts w:ascii="Times New Roman" w:hAnsi="Times New Roman" w:cs="Times New Roman"/>
                <w:sz w:val="24"/>
                <w:szCs w:val="24"/>
              </w:rPr>
              <w:t>„</w:t>
            </w:r>
            <w:r w:rsidR="00A548BC" w:rsidRPr="00A548BC">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A548BC" w:rsidRPr="00A548BC">
              <w:rPr>
                <w:rFonts w:ascii="Times New Roman" w:hAnsi="Times New Roman" w:cs="Times New Roman"/>
                <w:sz w:val="24"/>
                <w:szCs w:val="24"/>
              </w:rPr>
              <w:t xml:space="preserve"> към Условия за кандидатстване</w:t>
            </w:r>
            <w:r w:rsidR="00A548BC">
              <w:rPr>
                <w:rFonts w:ascii="Times New Roman" w:hAnsi="Times New Roman" w:cs="Times New Roman"/>
                <w:sz w:val="24"/>
                <w:szCs w:val="24"/>
              </w:rPr>
              <w:t>.</w:t>
            </w:r>
            <w:r w:rsidRPr="00240351">
              <w:rPr>
                <w:rFonts w:ascii="Times New Roman" w:hAnsi="Times New Roman" w:cs="Times New Roman"/>
                <w:sz w:val="24"/>
                <w:szCs w:val="24"/>
              </w:rPr>
              <w:t xml:space="preserve"> Представя се във формат „pdf“</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или „jpg“.</w:t>
            </w:r>
          </w:p>
          <w:p w:rsidR="00A35796" w:rsidRDefault="00A35796" w:rsidP="00B30004">
            <w:pPr>
              <w:spacing w:before="100" w:beforeAutospacing="1" w:after="100" w:afterAutospacing="1"/>
              <w:contextualSpacing/>
              <w:jc w:val="both"/>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 </w:t>
            </w:r>
            <w:r w:rsidRPr="00240351">
              <w:rPr>
                <w:rFonts w:ascii="Times New Roman" w:hAnsi="Times New Roman" w:cs="Times New Roman"/>
                <w:i/>
                <w:sz w:val="24"/>
                <w:szCs w:val="24"/>
              </w:rPr>
              <w:t>“.(важи в случаите , когато бенефециентът не се явява възложител по ЗОП)</w:t>
            </w:r>
            <w: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32</w:t>
            </w:r>
            <w:r w:rsidRPr="00240351">
              <w:rPr>
                <w:rFonts w:ascii="Times New Roman" w:hAnsi="Times New Roman" w:cs="Times New Roman"/>
                <w:sz w:val="24"/>
                <w:szCs w:val="24"/>
              </w:rPr>
              <w:t xml:space="preserve">.Номерирано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т. </w:t>
            </w:r>
            <w:r w:rsidRPr="00240351">
              <w:rPr>
                <w:rFonts w:ascii="Times New Roman" w:hAnsi="Times New Roman" w:cs="Times New Roman"/>
                <w:sz w:val="24"/>
                <w:szCs w:val="24"/>
                <w:lang w:val="en-US"/>
              </w:rPr>
              <w:t>I</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подточка „в</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 xml:space="preserve"> от Раздел 14.1. „Допустими разходи”, извършени преди подаване на проектното предложение. Представя се във формат „pdf“ или „jpg”.(</w:t>
            </w:r>
            <w:r w:rsidRPr="00240351">
              <w:rPr>
                <w:rFonts w:ascii="Times New Roman" w:hAnsi="Times New Roman" w:cs="Times New Roman"/>
                <w:i/>
                <w:sz w:val="24"/>
                <w:szCs w:val="24"/>
              </w:rPr>
              <w:t>важи, в случай че проектът включва разходи по т.“в“  от Раздел 14.1. „Допустими разходи”, извършени преди подаване на проектното предложение и бенефициентът се явява възложител по ЗОП).</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w:t>
            </w:r>
            <w:r w:rsidRPr="00240351">
              <w:rPr>
                <w:rFonts w:ascii="Times New Roman" w:hAnsi="Times New Roman" w:cs="Times New Roman"/>
                <w:sz w:val="24"/>
                <w:szCs w:val="24"/>
              </w:rPr>
              <w:lastRenderedPageBreak/>
              <w:t>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Pr>
                <w:rFonts w:ascii="Times New Roman" w:hAnsi="Times New Roman" w:cs="Times New Roman"/>
                <w:sz w:val="24"/>
                <w:szCs w:val="24"/>
              </w:rPr>
              <w:t>6</w:t>
            </w:r>
            <w:r w:rsidRPr="00240351">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C54E88">
              <w:rPr>
                <w:rFonts w:ascii="Times New Roman" w:hAnsi="Times New Roman" w:cs="Times New Roman"/>
                <w:sz w:val="24"/>
                <w:szCs w:val="24"/>
              </w:rPr>
              <w:t xml:space="preserve">(Приложение № </w:t>
            </w:r>
            <w:r w:rsidR="0049258A">
              <w:rPr>
                <w:rFonts w:ascii="Times New Roman" w:hAnsi="Times New Roman" w:cs="Times New Roman"/>
                <w:sz w:val="24"/>
                <w:szCs w:val="24"/>
              </w:rPr>
              <w:t>19</w:t>
            </w:r>
            <w:r w:rsidRPr="00C54E88">
              <w:rPr>
                <w:rFonts w:ascii="Times New Roman" w:hAnsi="Times New Roman" w:cs="Times New Roman"/>
                <w:sz w:val="24"/>
                <w:szCs w:val="24"/>
              </w:rPr>
              <w:t>)</w:t>
            </w:r>
            <w:r w:rsidR="0049258A">
              <w:rPr>
                <w:rFonts w:ascii="Times New Roman" w:hAnsi="Times New Roman" w:cs="Times New Roman"/>
                <w:sz w:val="24"/>
                <w:szCs w:val="24"/>
              </w:rPr>
              <w:t xml:space="preserve"> от „Документи за информация“,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w:t>
            </w:r>
            <w:r>
              <w:rPr>
                <w:rFonts w:ascii="Times New Roman" w:hAnsi="Times New Roman" w:cs="Times New Roman"/>
                <w:sz w:val="24"/>
                <w:szCs w:val="24"/>
              </w:rPr>
              <w:t>.</w:t>
            </w:r>
            <w:r w:rsidRPr="00240351">
              <w:rPr>
                <w:rFonts w:ascii="Times New Roman" w:hAnsi="Times New Roman" w:cs="Times New Roman"/>
                <w:sz w:val="24"/>
                <w:szCs w:val="24"/>
              </w:rPr>
              <w:t xml:space="preserve"> Оферентите трябва да отговарят на следните изисквания:</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w:t>
            </w:r>
            <w:r w:rsidRPr="00240351">
              <w:rPr>
                <w:rFonts w:ascii="Times New Roman" w:hAnsi="Times New Roman" w:cs="Times New Roman"/>
                <w:sz w:val="24"/>
                <w:szCs w:val="24"/>
              </w:rPr>
              <w:lastRenderedPageBreak/>
              <w:t xml:space="preserve">на Закона за Камарата на строителите;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Когато ползвателят не е избрал офертата с най-ниска цена, направеният избор се обосновава писмено.</w:t>
            </w:r>
          </w:p>
          <w:p w:rsidR="00A35796" w:rsidRPr="00240351" w:rsidRDefault="00A35796" w:rsidP="00B30004">
            <w:pPr>
              <w:jc w:val="both"/>
              <w:rPr>
                <w:rFonts w:ascii="Times New Roman" w:hAnsi="Times New Roman" w:cs="Times New Roman"/>
                <w:sz w:val="24"/>
                <w:szCs w:val="24"/>
              </w:rPr>
            </w:pPr>
            <w:r>
              <w:rPr>
                <w:rFonts w:ascii="Times New Roman" w:hAnsi="Times New Roman" w:cs="Times New Roman"/>
                <w:sz w:val="24"/>
                <w:szCs w:val="24"/>
              </w:rPr>
              <w:t>3</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Pr>
                <w:rFonts w:ascii="Times New Roman" w:hAnsi="Times New Roman" w:cs="Times New Roman"/>
                <w:sz w:val="24"/>
                <w:szCs w:val="24"/>
              </w:rPr>
              <w:t>,</w:t>
            </w:r>
            <w:r>
              <w:t xml:space="preserve"> </w:t>
            </w:r>
            <w:r w:rsidRPr="00FF6B50">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38</w:t>
            </w:r>
            <w:r w:rsidRPr="00240351">
              <w:rPr>
                <w:rFonts w:ascii="Times New Roman" w:hAnsi="Times New Roman" w:cs="Times New Roman"/>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A35796" w:rsidRPr="00240351" w:rsidRDefault="00A35796" w:rsidP="00B30004">
            <w:pPr>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39</w:t>
            </w:r>
            <w:r w:rsidRPr="00240351">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r w:rsidRPr="00240351">
              <w:t xml:space="preserve"> </w:t>
            </w:r>
            <w:r w:rsidRPr="00240351">
              <w:rPr>
                <w:rFonts w:ascii="Times New Roman" w:eastAsia="Times New Roman" w:hAnsi="Times New Roman" w:cs="Times New Roman"/>
                <w:sz w:val="24"/>
                <w:szCs w:val="24"/>
                <w:lang w:eastAsia="bg-BG"/>
              </w:rPr>
              <w:t>Представя се във формат „pdf“ или „jpg”.</w:t>
            </w:r>
          </w:p>
          <w:p w:rsidR="00A35796" w:rsidRPr="00240351" w:rsidRDefault="00A35796" w:rsidP="00B30004">
            <w:pPr>
              <w:rPr>
                <w:rFonts w:ascii="Times New Roman" w:eastAsia="Times New Roman" w:hAnsi="Times New Roman" w:cs="Times New Roman"/>
                <w:i/>
                <w:sz w:val="24"/>
                <w:szCs w:val="24"/>
                <w:lang w:eastAsia="bg-BG"/>
              </w:rPr>
            </w:pPr>
            <w:r w:rsidRPr="001D5DA0">
              <w:rPr>
                <w:rFonts w:ascii="Times New Roman" w:eastAsia="Times New Roman" w:hAnsi="Times New Roman" w:cs="Times New Roman"/>
                <w:sz w:val="24"/>
                <w:szCs w:val="24"/>
                <w:lang w:val="ru-RU" w:eastAsia="bg-BG"/>
              </w:rPr>
              <w:t>40</w:t>
            </w:r>
            <w:r w:rsidRPr="00240351">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w:t>
            </w:r>
            <w:r w:rsidRPr="00C54E88">
              <w:rPr>
                <w:rFonts w:ascii="Times New Roman" w:eastAsia="Times New Roman" w:hAnsi="Times New Roman" w:cs="Times New Roman"/>
                <w:sz w:val="24"/>
                <w:szCs w:val="24"/>
                <w:lang w:eastAsia="bg-BG"/>
              </w:rPr>
              <w:t xml:space="preserve">/ </w:t>
            </w:r>
            <w:r w:rsidRPr="00C54E88">
              <w:rPr>
                <w:rFonts w:ascii="Times New Roman" w:eastAsia="Times New Roman" w:hAnsi="Times New Roman" w:cs="Times New Roman"/>
                <w:i/>
                <w:sz w:val="24"/>
                <w:szCs w:val="24"/>
                <w:lang w:eastAsia="bg-BG"/>
              </w:rPr>
              <w:t>Приложение № 1</w:t>
            </w:r>
            <w:r w:rsidR="00747A5E">
              <w:rPr>
                <w:rFonts w:ascii="Times New Roman" w:eastAsia="Times New Roman" w:hAnsi="Times New Roman" w:cs="Times New Roman"/>
                <w:i/>
                <w:sz w:val="24"/>
                <w:szCs w:val="24"/>
                <w:lang w:eastAsia="bg-BG"/>
              </w:rPr>
              <w:t>4</w:t>
            </w:r>
            <w:r w:rsidRPr="000806B4">
              <w:rPr>
                <w:rFonts w:ascii="Times New Roman" w:eastAsia="Times New Roman" w:hAnsi="Times New Roman" w:cs="Times New Roman"/>
                <w:sz w:val="24"/>
                <w:szCs w:val="24"/>
                <w:lang w:eastAsia="bg-BG"/>
              </w:rPr>
              <w:t>./</w:t>
            </w:r>
            <w:r w:rsidR="000806B4" w:rsidRPr="000806B4">
              <w:t xml:space="preserve"> </w:t>
            </w:r>
            <w:r w:rsidR="000806B4" w:rsidRPr="000806B4">
              <w:rPr>
                <w:rFonts w:ascii="Times New Roman" w:eastAsia="Times New Roman" w:hAnsi="Times New Roman" w:cs="Times New Roman"/>
                <w:sz w:val="24"/>
                <w:szCs w:val="24"/>
                <w:lang w:eastAsia="bg-BG"/>
              </w:rPr>
              <w:t xml:space="preserve">от </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Документи за попълване</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 xml:space="preserve">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val="en-US" w:eastAsia="bg-BG"/>
              </w:rPr>
              <w:t>II</w:t>
            </w:r>
            <w:r w:rsidRPr="00240351">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Строително-монтажни работи:</w:t>
            </w:r>
            <w:r w:rsidRPr="00240351">
              <w:t xml:space="preserve"> </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w:t>
            </w:r>
            <w:r w:rsidRPr="0024035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w:t>
            </w:r>
            <w:r w:rsidRPr="00240351">
              <w:rPr>
                <w:rFonts w:ascii="Times New Roman" w:eastAsia="Times New Roman" w:hAnsi="Times New Roman" w:cs="Times New Roman"/>
                <w:sz w:val="24"/>
                <w:szCs w:val="24"/>
                <w:lang w:eastAsia="bg-BG"/>
              </w:rPr>
              <w:lastRenderedPageBreak/>
              <w:t>към стратегията за ВОМР;</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2</w:t>
            </w:r>
            <w:r w:rsidRPr="00240351">
              <w:rPr>
                <w:rFonts w:ascii="Times New Roman" w:eastAsia="Times New Roman" w:hAnsi="Times New Roman" w:cs="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 Представят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3</w:t>
            </w:r>
            <w:r w:rsidRPr="00240351">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hAnsi="Times New Roman" w:cs="Times New Roman"/>
                <w:sz w:val="24"/>
                <w:szCs w:val="24"/>
              </w:rPr>
              <w:t>4</w:t>
            </w:r>
            <w:r w:rsidR="00014FDF">
              <w:rPr>
                <w:rFonts w:ascii="Times New Roman" w:hAnsi="Times New Roman" w:cs="Times New Roman"/>
                <w:sz w:val="24"/>
                <w:szCs w:val="24"/>
              </w:rPr>
              <w:t>5</w:t>
            </w:r>
            <w:r w:rsidRPr="00240351">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w:t>
            </w:r>
            <w:r w:rsidRPr="00240351">
              <w:t xml:space="preserve"> </w:t>
            </w:r>
            <w:r w:rsidRPr="00240351">
              <w:rPr>
                <w:rFonts w:ascii="Times New Roman" w:eastAsia="Times New Roman" w:hAnsi="Times New Roman" w:cs="Times New Roman"/>
                <w:sz w:val="24"/>
                <w:szCs w:val="24"/>
                <w:lang w:eastAsia="bg-BG"/>
              </w:rPr>
              <w:t>Разрешение за поставяне, издадено в съответствие със ЗУТ (важи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 Представя се във формат „pdf“ или „jpg“.</w:t>
            </w:r>
          </w:p>
          <w:p w:rsidR="00A35796" w:rsidRPr="001D5DA0"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7</w:t>
            </w:r>
            <w:r w:rsidRPr="0024035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r w:rsidRPr="00240351">
              <w:rPr>
                <w:rFonts w:ascii="Times New Roman" w:hAnsi="Times New Roman" w:cs="Times New Roman"/>
                <w:sz w:val="24"/>
                <w:szCs w:val="24"/>
              </w:rPr>
              <w:t xml:space="preserve"> </w:t>
            </w:r>
            <w:r w:rsidRPr="00CC246E">
              <w:rPr>
                <w:rFonts w:ascii="Times New Roman" w:hAnsi="Times New Roman" w:cs="Times New Roman"/>
                <w:sz w:val="24"/>
                <w:szCs w:val="24"/>
              </w:rPr>
              <w:t xml:space="preserve">Представя се във формат „pdf“ </w:t>
            </w:r>
            <w:r w:rsidRPr="00140EAA">
              <w:rPr>
                <w:rFonts w:ascii="Times New Roman" w:hAnsi="Times New Roman" w:cs="Times New Roman"/>
                <w:sz w:val="24"/>
                <w:szCs w:val="24"/>
              </w:rPr>
              <w:t xml:space="preserve">„jpg </w:t>
            </w:r>
            <w:r w:rsidRPr="00CC246E">
              <w:rPr>
                <w:rFonts w:ascii="Times New Roman" w:hAnsi="Times New Roman" w:cs="Times New Roman"/>
                <w:sz w:val="24"/>
                <w:szCs w:val="24"/>
              </w:rPr>
              <w:t>и „</w:t>
            </w:r>
            <w:r w:rsidRPr="00CC246E">
              <w:rPr>
                <w:rFonts w:ascii="Times New Roman" w:hAnsi="Times New Roman" w:cs="Times New Roman"/>
                <w:sz w:val="24"/>
                <w:szCs w:val="24"/>
                <w:lang w:val="en-US"/>
              </w:rPr>
              <w:t>xls</w:t>
            </w:r>
            <w:r w:rsidRPr="00CC246E">
              <w:rPr>
                <w:rFonts w:ascii="Times New Roman" w:hAnsi="Times New Roman" w:cs="Times New Roman"/>
                <w:sz w:val="24"/>
                <w:szCs w:val="24"/>
              </w:rPr>
              <w:t>“</w:t>
            </w:r>
            <w:r w:rsidRPr="001D5DA0">
              <w:rPr>
                <w:rFonts w:ascii="Times New Roman" w:hAnsi="Times New Roman" w:cs="Times New Roman"/>
                <w:sz w:val="24"/>
                <w:szCs w:val="24"/>
                <w:lang w:val="ru-RU"/>
              </w:rPr>
              <w:t>.</w:t>
            </w:r>
          </w:p>
          <w:p w:rsidR="00A35796" w:rsidRPr="00240351" w:rsidRDefault="00014FDF" w:rsidP="00B30004">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48</w:t>
            </w:r>
            <w:r w:rsidR="00A35796" w:rsidRPr="00240351">
              <w:rPr>
                <w:rFonts w:ascii="Times New Roman" w:eastAsia="Times New Roman" w:hAnsi="Times New Roman" w:cs="Times New Roman"/>
                <w:color w:val="000000"/>
                <w:sz w:val="24"/>
                <w:szCs w:val="24"/>
                <w:lang w:eastAsia="bg-BG"/>
              </w:rPr>
              <w:t xml:space="preserve">. Подписани </w:t>
            </w:r>
            <w:r w:rsidR="00A35796" w:rsidRPr="00240351">
              <w:rPr>
                <w:rFonts w:ascii="Times New Roman" w:hAnsi="Times New Roman" w:cs="Times New Roman"/>
                <w:color w:val="000000"/>
                <w:sz w:val="24"/>
                <w:szCs w:val="24"/>
              </w:rPr>
              <w:t>количествено-стойностни сметки</w:t>
            </w:r>
            <w:r w:rsidR="00A35796" w:rsidRPr="00240351">
              <w:rPr>
                <w:rFonts w:ascii="Times New Roman" w:hAnsi="Times New Roman" w:cs="Times New Roman"/>
                <w:color w:val="000000"/>
                <w:sz w:val="24"/>
                <w:szCs w:val="24"/>
                <w:lang w:val="ru-RU"/>
              </w:rPr>
              <w:t xml:space="preserve">. </w:t>
            </w:r>
            <w:r w:rsidR="00A35796" w:rsidRPr="00240351">
              <w:rPr>
                <w:rFonts w:ascii="Times New Roman" w:hAnsi="Times New Roman" w:cs="Times New Roman"/>
                <w:sz w:val="24"/>
                <w:szCs w:val="24"/>
              </w:rPr>
              <w:t>Представят се във формат „pdf“</w:t>
            </w:r>
            <w:r w:rsidR="00A35796">
              <w:rPr>
                <w:rFonts w:ascii="Times New Roman" w:hAnsi="Times New Roman" w:cs="Times New Roman"/>
                <w:sz w:val="24"/>
                <w:szCs w:val="24"/>
              </w:rPr>
              <w:t>,</w:t>
            </w:r>
            <w:r w:rsidR="00A35796">
              <w:t xml:space="preserve"> </w:t>
            </w:r>
            <w:r w:rsidR="00A35796" w:rsidRPr="005F7105">
              <w:rPr>
                <w:rFonts w:ascii="Times New Roman" w:hAnsi="Times New Roman" w:cs="Times New Roman"/>
                <w:sz w:val="24"/>
                <w:szCs w:val="24"/>
              </w:rPr>
              <w:t>„jpg</w:t>
            </w:r>
            <w:r w:rsidR="00A35796" w:rsidRPr="00240351">
              <w:rPr>
                <w:rFonts w:ascii="Times New Roman" w:hAnsi="Times New Roman" w:cs="Times New Roman"/>
                <w:sz w:val="24"/>
                <w:szCs w:val="24"/>
              </w:rPr>
              <w:t xml:space="preserve"> и „</w:t>
            </w:r>
            <w:r w:rsidR="00A35796" w:rsidRPr="00240351">
              <w:rPr>
                <w:rFonts w:ascii="Times New Roman" w:hAnsi="Times New Roman" w:cs="Times New Roman"/>
                <w:sz w:val="24"/>
                <w:szCs w:val="24"/>
                <w:lang w:val="en-US"/>
              </w:rPr>
              <w:t>xls</w:t>
            </w:r>
            <w:r w:rsidR="00A35796" w:rsidRPr="00240351">
              <w:rPr>
                <w:rFonts w:ascii="Times New Roman" w:hAnsi="Times New Roman" w:cs="Times New Roman"/>
                <w:sz w:val="24"/>
                <w:szCs w:val="24"/>
              </w:rPr>
              <w:t>“./когато е приложимо/</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color w:val="000000"/>
                <w:sz w:val="24"/>
                <w:szCs w:val="24"/>
                <w:lang w:val="ru-RU" w:eastAsia="bg-BG"/>
              </w:rPr>
              <w:t xml:space="preserve"> </w:t>
            </w:r>
            <w:r w:rsidR="00014FDF">
              <w:rPr>
                <w:rFonts w:ascii="Times New Roman" w:eastAsia="Times New Roman" w:hAnsi="Times New Roman" w:cs="Times New Roman"/>
                <w:color w:val="000000"/>
                <w:sz w:val="24"/>
                <w:szCs w:val="24"/>
                <w:lang w:val="ru-RU" w:eastAsia="bg-BG"/>
              </w:rPr>
              <w:t>49</w:t>
            </w:r>
            <w:r w:rsidRPr="00240351">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240351">
              <w:rPr>
                <w:rFonts w:ascii="Times New Roman" w:eastAsia="Times New Roman" w:hAnsi="Times New Roman" w:cs="Times New Roman"/>
                <w:b/>
                <w:sz w:val="24"/>
                <w:szCs w:val="24"/>
                <w:lang w:eastAsia="bg-BG"/>
              </w:rPr>
              <w:t xml:space="preserve">изисква се само за инвестиционни проекти, които включват обекти - недвижими културни </w:t>
            </w:r>
            <w:r w:rsidRPr="00240351">
              <w:rPr>
                <w:rFonts w:ascii="Times New Roman" w:eastAsia="Times New Roman" w:hAnsi="Times New Roman" w:cs="Times New Roman"/>
                <w:b/>
                <w:sz w:val="24"/>
                <w:szCs w:val="24"/>
                <w:lang w:eastAsia="bg-BG"/>
              </w:rPr>
              <w:lastRenderedPageBreak/>
              <w:t>ценности)</w:t>
            </w:r>
            <w:r w:rsidRPr="00240351">
              <w:rPr>
                <w:rFonts w:ascii="Times New Roman" w:eastAsia="Times New Roman" w:hAnsi="Times New Roman" w:cs="Times New Roman"/>
                <w:sz w:val="24"/>
                <w:szCs w:val="24"/>
                <w:lang w:eastAsia="bg-BG"/>
              </w:rPr>
              <w:t>;</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5</w:t>
            </w:r>
            <w:r w:rsidR="00014FDF">
              <w:rPr>
                <w:rFonts w:ascii="Times New Roman" w:eastAsia="Times New Roman" w:hAnsi="Times New Roman" w:cs="Times New Roman"/>
                <w:sz w:val="24"/>
                <w:szCs w:val="24"/>
                <w:lang w:eastAsia="bg-BG"/>
              </w:rPr>
              <w:t>0</w:t>
            </w:r>
            <w:r w:rsidRPr="00240351">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r w:rsidRPr="00240351">
              <w:rPr>
                <w:rFonts w:ascii="Times New Roman" w:eastAsia="Times New Roman" w:hAnsi="Times New Roman" w:cs="Times New Roman"/>
                <w:sz w:val="24"/>
                <w:szCs w:val="24"/>
                <w:lang w:eastAsia="bg-BG"/>
              </w:rPr>
              <w:cr/>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1</w:t>
            </w:r>
            <w:r w:rsidRPr="00240351">
              <w:rPr>
                <w:rFonts w:ascii="Times New Roman" w:hAnsi="Times New Roman" w:cs="Times New Roman"/>
                <w:sz w:val="24"/>
                <w:szCs w:val="24"/>
                <w:lang w:val="ru-RU"/>
              </w:rPr>
              <w:t>.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(важи в случай, че проектът включва разходи за строително-монтажни работи).  Представя се във формат „pdf“</w:t>
            </w:r>
            <w:r w:rsidRPr="001D5DA0">
              <w:rPr>
                <w:rFonts w:ascii="Times New Roman" w:hAnsi="Times New Roman" w:cs="Times New Roman"/>
                <w:sz w:val="24"/>
                <w:szCs w:val="24"/>
                <w:lang w:val="ru-RU"/>
              </w:rPr>
              <w:t xml:space="preserve">, </w:t>
            </w:r>
            <w:r w:rsidRPr="00152DA1">
              <w:rPr>
                <w:rFonts w:ascii="Times New Roman" w:hAnsi="Times New Roman" w:cs="Times New Roman"/>
                <w:sz w:val="24"/>
                <w:szCs w:val="24"/>
                <w:lang w:val="ru-RU"/>
              </w:rPr>
              <w:t>„jpg”</w:t>
            </w:r>
            <w:r w:rsidRPr="001D5DA0">
              <w:rPr>
                <w:rFonts w:ascii="Times New Roman" w:hAnsi="Times New Roman" w:cs="Times New Roman"/>
                <w:sz w:val="24"/>
                <w:szCs w:val="24"/>
                <w:lang w:val="ru-RU"/>
              </w:rPr>
              <w:t>,</w:t>
            </w:r>
            <w:r w:rsidRPr="00240351">
              <w:rPr>
                <w:rFonts w:ascii="Times New Roman" w:hAnsi="Times New Roman" w:cs="Times New Roman"/>
                <w:sz w:val="24"/>
                <w:szCs w:val="24"/>
                <w:lang w:val="ru-RU"/>
              </w:rPr>
              <w:t xml:space="preserve"> „xls“.</w:t>
            </w:r>
          </w:p>
          <w:p w:rsidR="00A35796" w:rsidRPr="00240351" w:rsidRDefault="00A35796" w:rsidP="00B30004">
            <w:pPr>
              <w:jc w:val="both"/>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2</w:t>
            </w:r>
            <w:r w:rsidRPr="00240351">
              <w:rPr>
                <w:rFonts w:ascii="Times New Roman" w:hAnsi="Times New Roman" w:cs="Times New Roman"/>
                <w:sz w:val="24"/>
                <w:szCs w:val="24"/>
                <w:lang w:val="ru-RU"/>
              </w:rPr>
              <w:t>.Удостоверение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Представя се във формат „pdf“ или „jpg“.</w:t>
            </w:r>
            <w:r w:rsidRPr="00240351">
              <w:t xml:space="preserve"> </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3</w:t>
            </w:r>
            <w:r w:rsidRPr="00240351">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Pr="00240351">
              <w:t xml:space="preserve"> </w:t>
            </w:r>
            <w:r w:rsidRPr="00240351">
              <w:rPr>
                <w:rFonts w:ascii="Times New Roman" w:hAnsi="Times New Roman" w:cs="Times New Roman"/>
                <w:sz w:val="24"/>
                <w:szCs w:val="24"/>
                <w:lang w:val="ru-RU"/>
              </w:rPr>
              <w:t>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ІІІ. Машини, съоръжения, оборудване и обзавеждане</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5</w:t>
            </w:r>
            <w:r w:rsidRPr="00240351">
              <w:rPr>
                <w:rFonts w:ascii="Times New Roman" w:eastAsia="Times New Roman" w:hAnsi="Times New Roman" w:cs="Times New Roman"/>
                <w:sz w:val="24"/>
                <w:szCs w:val="24"/>
                <w:lang w:eastAsia="bg-BG"/>
              </w:rPr>
              <w:t>.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5</w:t>
            </w:r>
            <w:r w:rsidR="00D008CB">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 Технологичен проект ведно със схема и описание на технологичния процес, изготвен и заверен от правоспособно лице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r w:rsidRPr="004218AD">
              <w:rPr>
                <w:rFonts w:ascii="Times New Roman" w:hAnsi="Times New Roman" w:cs="Times New Roman"/>
                <w:sz w:val="24"/>
                <w:szCs w:val="24"/>
                <w:lang w:val="ru-RU"/>
              </w:rPr>
              <w:t>„zip“ или „rar“</w:t>
            </w:r>
            <w:r w:rsidRPr="00240351">
              <w:rPr>
                <w:rFonts w:ascii="Times New Roman" w:hAnsi="Times New Roman" w:cs="Times New Roman"/>
                <w:sz w:val="24"/>
                <w:szCs w:val="24"/>
                <w:lang w:val="ru-RU"/>
              </w:rPr>
              <w:t>.</w:t>
            </w:r>
          </w:p>
          <w:p w:rsidR="00A35796" w:rsidRPr="00240351" w:rsidRDefault="00A35796" w:rsidP="00D008CB">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5</w:t>
            </w:r>
            <w:r w:rsidR="00D008CB">
              <w:rPr>
                <w:rFonts w:ascii="Times New Roman" w:hAnsi="Times New Roman" w:cs="Times New Roman"/>
                <w:sz w:val="24"/>
                <w:szCs w:val="24"/>
                <w:lang w:val="ru-RU"/>
              </w:rPr>
              <w:t>7</w:t>
            </w:r>
            <w:r w:rsidRPr="00240351">
              <w:rPr>
                <w:rFonts w:ascii="Times New Roman" w:hAnsi="Times New Roman" w:cs="Times New Roman"/>
                <w:sz w:val="24"/>
                <w:szCs w:val="24"/>
              </w:rPr>
              <w:t>. За оборудване и/или обзавеждане  подробни технически спецификации.</w:t>
            </w:r>
            <w:r w:rsidRPr="00240351">
              <w:t xml:space="preserve"> </w:t>
            </w:r>
            <w:r w:rsidRPr="00240351">
              <w:rPr>
                <w:rFonts w:ascii="Times New Roman" w:hAnsi="Times New Roman" w:cs="Times New Roman"/>
                <w:sz w:val="24"/>
                <w:szCs w:val="24"/>
              </w:rPr>
              <w:t>Представя</w:t>
            </w:r>
            <w:r w:rsidR="00E839DF">
              <w:rPr>
                <w:rFonts w:ascii="Times New Roman" w:hAnsi="Times New Roman" w:cs="Times New Roman"/>
                <w:sz w:val="24"/>
                <w:szCs w:val="24"/>
              </w:rPr>
              <w:t xml:space="preserve"> се във формат „pdf“ или „jpg”.</w:t>
            </w:r>
          </w:p>
        </w:tc>
      </w:tr>
    </w:tbl>
    <w:p w:rsidR="00A35796" w:rsidRPr="00703A3E" w:rsidRDefault="00A35796" w:rsidP="00A35796">
      <w:pPr>
        <w:pStyle w:val="1"/>
        <w:rPr>
          <w:szCs w:val="24"/>
        </w:rPr>
      </w:pPr>
      <w:bookmarkStart w:id="39" w:name="_Toc526320304"/>
      <w:r w:rsidRPr="00703A3E">
        <w:rPr>
          <w:szCs w:val="24"/>
        </w:rPr>
        <w:lastRenderedPageBreak/>
        <w:t>25. Краен срок за подаване на проектните предложения:</w:t>
      </w:r>
      <w:bookmarkEnd w:id="39"/>
    </w:p>
    <w:tbl>
      <w:tblPr>
        <w:tblStyle w:val="a9"/>
        <w:tblW w:w="9918" w:type="dxa"/>
        <w:tblLook w:val="04A0" w:firstRow="1" w:lastRow="0" w:firstColumn="1" w:lastColumn="0" w:noHBand="0" w:noVBand="1"/>
      </w:tblPr>
      <w:tblGrid>
        <w:gridCol w:w="9918"/>
      </w:tblGrid>
      <w:tr w:rsidR="00A35796" w:rsidRPr="00703A3E" w:rsidTr="00E839DF">
        <w:tc>
          <w:tcPr>
            <w:tcW w:w="9918" w:type="dxa"/>
          </w:tcPr>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Процедурата се обявява с два крайни срока за кандидатстване, но втори прием ще има само в случай, че има наличен фина</w:t>
            </w:r>
            <w:r w:rsidR="00E839DF">
              <w:rPr>
                <w:rFonts w:ascii="Times New Roman" w:hAnsi="Times New Roman" w:cs="Times New Roman"/>
                <w:sz w:val="24"/>
                <w:szCs w:val="24"/>
              </w:rPr>
              <w:t xml:space="preserve">нсов ресурс след първия прием. </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Първият период за прием е с начален срок </w:t>
            </w:r>
            <w:r>
              <w:rPr>
                <w:rFonts w:ascii="Times New Roman" w:hAnsi="Times New Roman" w:cs="Times New Roman"/>
                <w:sz w:val="24"/>
                <w:szCs w:val="24"/>
              </w:rPr>
              <w:t>12.11</w:t>
            </w:r>
            <w:r w:rsidRPr="005142B7">
              <w:rPr>
                <w:rFonts w:ascii="Times New Roman" w:hAnsi="Times New Roman" w:cs="Times New Roman"/>
                <w:sz w:val="24"/>
                <w:szCs w:val="24"/>
              </w:rPr>
              <w:t>.2018 г.,</w:t>
            </w:r>
            <w:r w:rsidRPr="00703A3E">
              <w:rPr>
                <w:rFonts w:ascii="Times New Roman" w:hAnsi="Times New Roman" w:cs="Times New Roman"/>
                <w:sz w:val="24"/>
                <w:szCs w:val="24"/>
              </w:rPr>
              <w:t xml:space="preserve"> а крайният срок за подаване на проектните предложения </w:t>
            </w:r>
            <w:r w:rsidR="00565503">
              <w:rPr>
                <w:rFonts w:ascii="Times New Roman" w:hAnsi="Times New Roman" w:cs="Times New Roman"/>
                <w:sz w:val="24"/>
                <w:szCs w:val="24"/>
              </w:rPr>
              <w:t>е 31</w:t>
            </w:r>
            <w:bookmarkStart w:id="40" w:name="_GoBack"/>
            <w:bookmarkEnd w:id="40"/>
            <w:r w:rsidRPr="00C54E88">
              <w:rPr>
                <w:rFonts w:ascii="Times New Roman" w:hAnsi="Times New Roman" w:cs="Times New Roman"/>
                <w:sz w:val="24"/>
                <w:szCs w:val="24"/>
              </w:rPr>
              <w:t>.01.2019 г., 17:00 часа.</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Вторият период за прием е с начален срок 25.03.2018 г., а крайният срок за подаване на проектните предложения  е 29.04.2018 г., </w:t>
            </w:r>
            <w:r>
              <w:rPr>
                <w:rFonts w:ascii="Times New Roman" w:hAnsi="Times New Roman" w:cs="Times New Roman"/>
                <w:sz w:val="24"/>
                <w:szCs w:val="24"/>
              </w:rPr>
              <w:t>17</w:t>
            </w:r>
            <w:r w:rsidRPr="00703A3E">
              <w:rPr>
                <w:rFonts w:ascii="Times New Roman" w:hAnsi="Times New Roman" w:cs="Times New Roman"/>
                <w:sz w:val="24"/>
                <w:szCs w:val="24"/>
              </w:rPr>
              <w:t>:</w:t>
            </w:r>
            <w:r>
              <w:rPr>
                <w:rFonts w:ascii="Times New Roman" w:hAnsi="Times New Roman" w:cs="Times New Roman"/>
                <w:sz w:val="24"/>
                <w:szCs w:val="24"/>
              </w:rPr>
              <w:t>0</w:t>
            </w:r>
            <w:r w:rsidR="00E839DF">
              <w:rPr>
                <w:rFonts w:ascii="Times New Roman" w:hAnsi="Times New Roman" w:cs="Times New Roman"/>
                <w:sz w:val="24"/>
                <w:szCs w:val="24"/>
              </w:rPr>
              <w:t>0 часа.</w:t>
            </w:r>
          </w:p>
        </w:tc>
      </w:tr>
    </w:tbl>
    <w:p w:rsidR="00A35796" w:rsidRPr="00E839DF" w:rsidRDefault="00A35796" w:rsidP="00A35796">
      <w:pPr>
        <w:pStyle w:val="1"/>
        <w:jc w:val="both"/>
        <w:rPr>
          <w:szCs w:val="24"/>
        </w:rPr>
      </w:pPr>
      <w:bookmarkStart w:id="41" w:name="_Toc526320305"/>
      <w:r w:rsidRPr="00E839DF">
        <w:rPr>
          <w:szCs w:val="24"/>
        </w:rPr>
        <w:t>26. Адрес за подаване на проектните предложения:</w:t>
      </w:r>
      <w:bookmarkEnd w:id="41"/>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1"/>
        <w:jc w:val="both"/>
        <w:rPr>
          <w:rFonts w:cs="Times New Roman"/>
          <w:szCs w:val="24"/>
        </w:rPr>
      </w:pPr>
      <w:bookmarkStart w:id="42" w:name="_Toc526320306"/>
      <w:r w:rsidRPr="00E839DF">
        <w:rPr>
          <w:rFonts w:cs="Times New Roman"/>
          <w:szCs w:val="24"/>
        </w:rPr>
        <w:t>27. Допълнителна информация:</w:t>
      </w:r>
      <w:bookmarkEnd w:id="42"/>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A35796" w:rsidRPr="00D53533" w:rsidRDefault="00A35796" w:rsidP="00A35796">
      <w:pPr>
        <w:pStyle w:val="1"/>
        <w:jc w:val="both"/>
        <w:rPr>
          <w:rFonts w:cs="Times New Roman"/>
          <w:szCs w:val="24"/>
        </w:rPr>
      </w:pPr>
      <w:bookmarkStart w:id="43" w:name="_Toc526320307"/>
      <w:r w:rsidRPr="00D53533">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3"/>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A35796" w:rsidRPr="00D53533" w:rsidRDefault="00A35796" w:rsidP="00B30004">
            <w:pPr>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B30004">
            <w:pPr>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w:t>
            </w:r>
            <w:r w:rsidRPr="00D53533">
              <w:rPr>
                <w:rFonts w:ascii="Times New Roman" w:hAnsi="Times New Roman" w:cs="Times New Roman"/>
                <w:sz w:val="24"/>
                <w:szCs w:val="24"/>
              </w:rPr>
              <w:lastRenderedPageBreak/>
              <w:t xml:space="preserve">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B30004">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1"/>
        <w:jc w:val="both"/>
        <w:rPr>
          <w:rFonts w:cs="Times New Roman"/>
          <w:szCs w:val="24"/>
        </w:rPr>
      </w:pPr>
      <w:bookmarkStart w:id="44" w:name="_Toc526320308"/>
      <w:r w:rsidRPr="00D53533">
        <w:rPr>
          <w:rFonts w:cs="Times New Roman"/>
          <w:szCs w:val="24"/>
        </w:rPr>
        <w:lastRenderedPageBreak/>
        <w:t>28. Приложения към Условията за кандидатстване:</w:t>
      </w:r>
      <w:bookmarkEnd w:id="44"/>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pStyle w:val="af0"/>
              <w:spacing w:after="160" w:line="259" w:lineRule="auto"/>
              <w:jc w:val="both"/>
              <w:rPr>
                <w:b/>
              </w:rPr>
            </w:pPr>
            <w:r w:rsidRPr="00D53533">
              <w:rPr>
                <w:b/>
              </w:rPr>
              <w:t>За попълване от кандидата</w:t>
            </w:r>
          </w:p>
          <w:p w:rsidR="00A35796" w:rsidRPr="00D53533" w:rsidRDefault="00A35796" w:rsidP="00B30004">
            <w:pPr>
              <w:pStyle w:val="af0"/>
              <w:spacing w:after="160" w:line="259" w:lineRule="auto"/>
              <w:jc w:val="both"/>
            </w:pPr>
            <w:r w:rsidRPr="00D53533">
              <w:t>Приложение № 1_Основна информация за проектното предложение</w:t>
            </w:r>
          </w:p>
          <w:p w:rsidR="00A35796" w:rsidRPr="00D53533" w:rsidRDefault="00A35796" w:rsidP="00B30004">
            <w:pPr>
              <w:pStyle w:val="af0"/>
              <w:spacing w:after="160" w:line="259" w:lineRule="auto"/>
              <w:jc w:val="both"/>
            </w:pPr>
            <w:r w:rsidRPr="00D53533">
              <w:t>Приложение № 2_Декларация НСИ</w:t>
            </w:r>
          </w:p>
          <w:p w:rsidR="00A35796" w:rsidRPr="00D53533" w:rsidRDefault="00A35796" w:rsidP="00B30004">
            <w:pPr>
              <w:pStyle w:val="af0"/>
              <w:spacing w:after="160" w:line="259" w:lineRule="auto"/>
              <w:jc w:val="both"/>
            </w:pPr>
            <w:r w:rsidRPr="00D53533">
              <w:t>Приложение № 3_ Декларация за нередности</w:t>
            </w:r>
          </w:p>
          <w:p w:rsidR="00A35796" w:rsidRPr="00D53533" w:rsidRDefault="00A35796" w:rsidP="00B30004">
            <w:pPr>
              <w:pStyle w:val="af0"/>
              <w:spacing w:after="160" w:line="259" w:lineRule="auto"/>
              <w:jc w:val="both"/>
            </w:pPr>
            <w:r w:rsidRPr="00D53533">
              <w:t xml:space="preserve">Приложение № 4_Декларация по чл. 19 и 20 от Закона за личните данни </w:t>
            </w:r>
          </w:p>
          <w:p w:rsidR="00A35796" w:rsidRPr="00D53533" w:rsidRDefault="00A35796" w:rsidP="00B30004">
            <w:pPr>
              <w:pStyle w:val="af0"/>
              <w:spacing w:after="160" w:line="259" w:lineRule="auto"/>
              <w:jc w:val="both"/>
            </w:pPr>
            <w:r w:rsidRPr="00D53533">
              <w:t>Приложение № 5_Декларация по чл. 25, ал. 2 от ЗУСЕСИФ</w:t>
            </w:r>
          </w:p>
          <w:p w:rsidR="00A35796" w:rsidRPr="00D53533" w:rsidRDefault="00A35796" w:rsidP="00B30004">
            <w:pPr>
              <w:pStyle w:val="af0"/>
              <w:spacing w:after="160" w:line="259" w:lineRule="auto"/>
              <w:jc w:val="both"/>
            </w:pPr>
            <w:r w:rsidRPr="00D53533">
              <w:t>Приложение № 6_</w:t>
            </w:r>
            <w:r w:rsidR="005644E5">
              <w:t xml:space="preserve"> </w:t>
            </w:r>
            <w:r w:rsidR="005644E5" w:rsidRPr="005644E5">
              <w:t>Декларация съгласно Приложение № 6 от наредба 22</w:t>
            </w:r>
          </w:p>
          <w:p w:rsidR="00A35796" w:rsidRPr="00D53533" w:rsidRDefault="00A35796" w:rsidP="00B30004">
            <w:pPr>
              <w:pStyle w:val="af0"/>
              <w:spacing w:after="160" w:line="259" w:lineRule="auto"/>
              <w:jc w:val="both"/>
            </w:pPr>
            <w:r w:rsidRPr="00D53533">
              <w:t xml:space="preserve">Приложение № 7_Декларация за размера на получените </w:t>
            </w:r>
            <w:r>
              <w:t xml:space="preserve">минимални и </w:t>
            </w:r>
            <w:r w:rsidRPr="00D53533">
              <w:t>държавни помощи</w:t>
            </w:r>
          </w:p>
          <w:p w:rsidR="00A35796" w:rsidRPr="00D53533" w:rsidRDefault="00A35796" w:rsidP="00B30004">
            <w:pPr>
              <w:pStyle w:val="af0"/>
              <w:spacing w:after="160" w:line="259" w:lineRule="auto"/>
              <w:jc w:val="both"/>
            </w:pPr>
            <w:r w:rsidRPr="00D53533">
              <w:t xml:space="preserve">Приложение № 8_ Декларация за липса на двойно финансиране и изкуствено създадени условия  </w:t>
            </w:r>
          </w:p>
          <w:p w:rsidR="00447F7C" w:rsidRDefault="00A35796" w:rsidP="00B30004">
            <w:pPr>
              <w:pStyle w:val="af0"/>
              <w:spacing w:after="160" w:line="259" w:lineRule="auto"/>
              <w:jc w:val="both"/>
            </w:pPr>
            <w:r w:rsidRPr="00D53533">
              <w:t xml:space="preserve">Приложение № 9_ </w:t>
            </w:r>
            <w:r w:rsidR="00447F7C" w:rsidRPr="00447F7C">
              <w:t>Декларация за неприложими документи</w:t>
            </w:r>
          </w:p>
          <w:p w:rsidR="00A35796" w:rsidRPr="00D53533" w:rsidRDefault="00A35796" w:rsidP="00B30004">
            <w:pPr>
              <w:pStyle w:val="af0"/>
              <w:spacing w:after="160" w:line="259" w:lineRule="auto"/>
              <w:jc w:val="both"/>
            </w:pPr>
            <w:r w:rsidRPr="00D53533">
              <w:t>Приложение № 1</w:t>
            </w:r>
            <w:r w:rsidR="00F12482">
              <w:t>0</w:t>
            </w:r>
            <w:r w:rsidRPr="00D53533">
              <w:t>_ Анализ за социално-икономическите ползи за развитието на селския район и устойчивостта на инвестицията</w:t>
            </w:r>
          </w:p>
          <w:p w:rsidR="00A35796" w:rsidRPr="00D53533" w:rsidRDefault="00A35796" w:rsidP="00B30004">
            <w:pPr>
              <w:pStyle w:val="af0"/>
              <w:spacing w:after="160" w:line="259" w:lineRule="auto"/>
              <w:jc w:val="both"/>
            </w:pPr>
            <w:r w:rsidRPr="00D53533">
              <w:t>Приложение № 1</w:t>
            </w:r>
            <w:r w:rsidR="00F12482">
              <w:t>1</w:t>
            </w:r>
            <w:r w:rsidRPr="00D53533">
              <w:t>_ Анализ разходи финансов– ползи</w:t>
            </w:r>
          </w:p>
          <w:p w:rsidR="00A35796" w:rsidRPr="00D53533" w:rsidRDefault="00A35796" w:rsidP="00B30004">
            <w:pPr>
              <w:pStyle w:val="af0"/>
              <w:spacing w:after="160" w:line="259" w:lineRule="auto"/>
              <w:jc w:val="both"/>
            </w:pPr>
            <w:r w:rsidRPr="00D53533">
              <w:t>Приложение № 1</w:t>
            </w:r>
            <w:r w:rsidR="00447F7C">
              <w:t>2</w:t>
            </w:r>
            <w:r w:rsidRPr="00D53533">
              <w:t>_ Анализ разходи таблица – ползи</w:t>
            </w:r>
          </w:p>
          <w:p w:rsidR="00A35796" w:rsidRPr="00D53533" w:rsidRDefault="00A35796" w:rsidP="00B30004">
            <w:pPr>
              <w:pStyle w:val="af0"/>
              <w:spacing w:after="160" w:line="259" w:lineRule="auto"/>
              <w:jc w:val="both"/>
            </w:pPr>
            <w:r w:rsidRPr="00D53533">
              <w:t>Приложение № 1</w:t>
            </w:r>
            <w:r w:rsidR="00447F7C">
              <w:t>3</w:t>
            </w:r>
            <w:r w:rsidRPr="00D53533">
              <w:t>_ ТДИД_19.2</w:t>
            </w:r>
          </w:p>
          <w:p w:rsidR="00A35796" w:rsidRPr="00D53533" w:rsidRDefault="00A35796" w:rsidP="00B30004">
            <w:pPr>
              <w:pStyle w:val="af0"/>
              <w:spacing w:after="160" w:line="259" w:lineRule="auto"/>
              <w:jc w:val="both"/>
            </w:pPr>
            <w:r w:rsidRPr="00D53533">
              <w:t>Приложение № 1</w:t>
            </w:r>
            <w:r w:rsidR="00447F7C">
              <w:t>4</w:t>
            </w:r>
            <w:r w:rsidRPr="00D53533">
              <w:t>_ Формуляр за мониторинг</w:t>
            </w:r>
          </w:p>
          <w:p w:rsidR="00A35796" w:rsidRPr="00D53533" w:rsidRDefault="00A35796" w:rsidP="00B30004">
            <w:pPr>
              <w:pStyle w:val="af0"/>
              <w:spacing w:after="160" w:line="259" w:lineRule="auto"/>
              <w:jc w:val="both"/>
            </w:pPr>
            <w:r w:rsidRPr="00D53533">
              <w:t>Приложение № 1</w:t>
            </w:r>
            <w:r w:rsidR="00447F7C">
              <w:t>5</w:t>
            </w:r>
            <w:r w:rsidRPr="00D53533">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A35796" w:rsidRPr="00D53533" w:rsidRDefault="00A35796" w:rsidP="00B30004">
            <w:pPr>
              <w:pStyle w:val="af0"/>
              <w:spacing w:after="160"/>
              <w:ind w:left="737"/>
              <w:jc w:val="both"/>
              <w:rPr>
                <w:b/>
              </w:rPr>
            </w:pPr>
            <w:bookmarkStart w:id="45" w:name="_Hlk526163632"/>
            <w:r w:rsidRPr="00D53533">
              <w:rPr>
                <w:b/>
              </w:rPr>
              <w:t>За информация</w:t>
            </w:r>
          </w:p>
          <w:p w:rsidR="00A35796" w:rsidRPr="00D53533" w:rsidRDefault="00A35796" w:rsidP="00B30004">
            <w:pPr>
              <w:pStyle w:val="af0"/>
              <w:spacing w:after="160"/>
              <w:ind w:left="737"/>
              <w:jc w:val="both"/>
            </w:pPr>
            <w:r w:rsidRPr="00D53533">
              <w:t>Приложение</w:t>
            </w:r>
            <w:r>
              <w:t xml:space="preserve"> </w:t>
            </w:r>
            <w:r w:rsidRPr="00D53533">
              <w:t>№</w:t>
            </w:r>
            <w:r>
              <w:t>1</w:t>
            </w:r>
            <w:r w:rsidR="00447F7C">
              <w:t>6</w:t>
            </w:r>
            <w:r w:rsidRPr="00D53533">
              <w:t>_ Указания за условията и реда за подаване на проектни предложения</w:t>
            </w:r>
          </w:p>
          <w:p w:rsidR="00A35796" w:rsidRPr="00442D47" w:rsidRDefault="00A35796" w:rsidP="00B30004">
            <w:pPr>
              <w:pStyle w:val="af0"/>
              <w:spacing w:after="160"/>
              <w:ind w:left="737"/>
              <w:jc w:val="both"/>
            </w:pPr>
            <w:r w:rsidRPr="00442D47">
              <w:t xml:space="preserve">Приложение № </w:t>
            </w:r>
            <w:r w:rsidR="00447F7C">
              <w:t>17</w:t>
            </w:r>
            <w:r w:rsidRPr="00442D47">
              <w:t>_ Оценителна таблица_АСД</w:t>
            </w:r>
          </w:p>
          <w:p w:rsidR="00A35796" w:rsidRDefault="00A35796" w:rsidP="00B30004">
            <w:pPr>
              <w:pStyle w:val="af0"/>
              <w:spacing w:after="160"/>
              <w:ind w:left="737"/>
              <w:jc w:val="both"/>
            </w:pPr>
            <w:r w:rsidRPr="00442D47">
              <w:t xml:space="preserve">Приложение № </w:t>
            </w:r>
            <w:r w:rsidR="00447F7C">
              <w:t>18</w:t>
            </w:r>
            <w:r w:rsidRPr="00442D47">
              <w:t>_ Оценителна таблица_ТФО</w:t>
            </w:r>
          </w:p>
          <w:p w:rsidR="00A35796" w:rsidRDefault="00A35796" w:rsidP="00B30004">
            <w:pPr>
              <w:pStyle w:val="af0"/>
              <w:spacing w:after="160"/>
              <w:ind w:left="737"/>
              <w:jc w:val="both"/>
            </w:pPr>
            <w:r w:rsidRPr="00184667">
              <w:lastRenderedPageBreak/>
              <w:t xml:space="preserve">Приложение № </w:t>
            </w:r>
            <w:r w:rsidR="00447F7C">
              <w:t>19</w:t>
            </w:r>
            <w:r w:rsidRPr="00184667">
              <w:t>_</w:t>
            </w:r>
            <w:r>
              <w:t>Запитване за оферта</w:t>
            </w:r>
          </w:p>
          <w:p w:rsidR="00A35796" w:rsidRDefault="00A35796" w:rsidP="00B30004">
            <w:pPr>
              <w:pStyle w:val="af0"/>
              <w:spacing w:after="160"/>
              <w:ind w:left="737"/>
              <w:jc w:val="both"/>
            </w:pPr>
            <w:r w:rsidRPr="00A80BE3">
              <w:t>Приложение № 2</w:t>
            </w:r>
            <w:r w:rsidR="00447F7C">
              <w:t>0</w:t>
            </w:r>
            <w:r w:rsidRPr="00A80BE3">
              <w:t>_</w:t>
            </w:r>
            <w:r>
              <w:t xml:space="preserve">  Таблица одобрен размер на допустимите разходи</w:t>
            </w:r>
            <w:bookmarkEnd w:id="45"/>
          </w:p>
          <w:p w:rsidR="00A35796" w:rsidRDefault="00A35796" w:rsidP="00447F7C">
            <w:pPr>
              <w:pStyle w:val="af0"/>
              <w:spacing w:after="160"/>
              <w:ind w:left="737"/>
              <w:jc w:val="both"/>
            </w:pPr>
            <w:r w:rsidRPr="009860A5">
              <w:t>Приложение № 2</w:t>
            </w:r>
            <w:r w:rsidR="00447F7C">
              <w:t>1</w:t>
            </w:r>
            <w:r w:rsidRPr="009860A5">
              <w:t xml:space="preserve">_  </w:t>
            </w:r>
            <w:r>
              <w:t>Контролен лист от посещение на място</w:t>
            </w:r>
          </w:p>
          <w:p w:rsidR="00536ACC" w:rsidRPr="00D53533" w:rsidRDefault="00536ACC" w:rsidP="004413C9">
            <w:pPr>
              <w:pStyle w:val="af0"/>
              <w:spacing w:after="160"/>
              <w:ind w:left="737"/>
              <w:jc w:val="both"/>
            </w:pPr>
            <w:r w:rsidRPr="00536ACC">
              <w:t>Приложение № 2</w:t>
            </w:r>
            <w:r w:rsidR="004413C9">
              <w:t>2</w:t>
            </w:r>
            <w:r w:rsidRPr="00536ACC">
              <w:t xml:space="preserve">_  </w:t>
            </w:r>
            <w:r>
              <w:t xml:space="preserve">Работен лист за проверка </w:t>
            </w:r>
            <w:r w:rsidR="00D16500">
              <w:t xml:space="preserve">за наличие на изкуствено създадени условия, за липса на двойно финансиране </w:t>
            </w:r>
            <w:r w:rsidR="00ED1B2C">
              <w:t>, минимални/държавни помощи</w:t>
            </w:r>
          </w:p>
        </w:tc>
      </w:tr>
    </w:tbl>
    <w:p w:rsidR="00A35796" w:rsidRDefault="00A35796" w:rsidP="00A35796">
      <w:pPr>
        <w:ind w:firstLine="708"/>
      </w:pPr>
    </w:p>
    <w:p w:rsidR="00EC05AA" w:rsidRDefault="00EC05AA"/>
    <w:sectPr w:rsidR="00EC05AA" w:rsidSect="00B30004">
      <w:headerReference w:type="even" r:id="rId23"/>
      <w:headerReference w:type="default" r:id="rId24"/>
      <w:footerReference w:type="default" r:id="rId25"/>
      <w:head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E3A" w:rsidRDefault="00D72E3A">
      <w:pPr>
        <w:spacing w:after="0" w:line="240" w:lineRule="auto"/>
      </w:pPr>
      <w:r>
        <w:separator/>
      </w:r>
    </w:p>
  </w:endnote>
  <w:endnote w:type="continuationSeparator" w:id="0">
    <w:p w:rsidR="00D72E3A" w:rsidRDefault="00D72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1A2C72" w:rsidRDefault="001A2C72">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565503">
          <w:rPr>
            <w:rFonts w:ascii="Times New Roman" w:hAnsi="Times New Roman" w:cs="Times New Roman"/>
            <w:noProof/>
            <w:sz w:val="20"/>
            <w:szCs w:val="20"/>
          </w:rPr>
          <w:t>47</w:t>
        </w:r>
        <w:r w:rsidRPr="003A4136">
          <w:rPr>
            <w:rFonts w:ascii="Times New Roman" w:hAnsi="Times New Roman" w:cs="Times New Roman"/>
            <w:sz w:val="20"/>
            <w:szCs w:val="20"/>
          </w:rPr>
          <w:fldChar w:fldCharType="end"/>
        </w:r>
      </w:p>
    </w:sdtContent>
  </w:sdt>
  <w:p w:rsidR="001A2C72" w:rsidRPr="00CD0352" w:rsidRDefault="001A2C72" w:rsidP="00B30004">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E3A" w:rsidRDefault="00D72E3A">
      <w:pPr>
        <w:spacing w:after="0" w:line="240" w:lineRule="auto"/>
      </w:pPr>
      <w:r>
        <w:separator/>
      </w:r>
    </w:p>
  </w:footnote>
  <w:footnote w:type="continuationSeparator" w:id="0">
    <w:p w:rsidR="00D72E3A" w:rsidRDefault="00D72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D72E3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1A2C72" w:rsidP="00B30004">
    <w:pPr>
      <w:pStyle w:val="a3"/>
      <w:rPr>
        <w:b/>
        <w:sz w:val="20"/>
        <w:szCs w:val="20"/>
      </w:rPr>
    </w:pPr>
    <w:r>
      <w:rPr>
        <w:noProof/>
        <w:lang w:eastAsia="bg-BG"/>
      </w:rPr>
      <w:drawing>
        <wp:anchor distT="0" distB="0" distL="114300" distR="114300" simplePos="0" relativeHeight="251660288" behindDoc="0" locked="0" layoutInCell="1" allowOverlap="1" wp14:anchorId="4D809D39" wp14:editId="5A1C7B42">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11B16DDE" wp14:editId="5ED09DC9">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3360" behindDoc="0" locked="0" layoutInCell="1" allowOverlap="1" wp14:anchorId="04421472" wp14:editId="76170685">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1A2C72" w:rsidRDefault="001A2C72" w:rsidP="00B30004">
    <w:pPr>
      <w:pStyle w:val="a3"/>
      <w:jc w:val="center"/>
      <w:rPr>
        <w:b/>
        <w:sz w:val="20"/>
        <w:szCs w:val="20"/>
      </w:rPr>
    </w:pPr>
    <w:r>
      <w:rPr>
        <w:noProof/>
        <w:lang w:eastAsia="bg-BG"/>
      </w:rPr>
      <w:drawing>
        <wp:anchor distT="0" distB="0" distL="114300" distR="114300" simplePos="0" relativeHeight="251665408" behindDoc="0" locked="0" layoutInCell="1" allowOverlap="1" wp14:anchorId="6C62037E" wp14:editId="072CD743">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4384" behindDoc="0" locked="0" layoutInCell="1" allowOverlap="1" wp14:anchorId="5E4ADAC3" wp14:editId="78B7583B">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A2C72" w:rsidRDefault="001A2C72" w:rsidP="00B30004">
    <w:pPr>
      <w:pStyle w:val="a3"/>
      <w:jc w:val="center"/>
      <w:rPr>
        <w:b/>
        <w:sz w:val="20"/>
        <w:szCs w:val="20"/>
      </w:rPr>
    </w:pPr>
  </w:p>
  <w:p w:rsidR="001A2C72" w:rsidRDefault="001A2C72" w:rsidP="00B30004">
    <w:pPr>
      <w:pStyle w:val="a3"/>
      <w:jc w:val="center"/>
      <w:rPr>
        <w:b/>
        <w:sz w:val="20"/>
        <w:szCs w:val="20"/>
      </w:rPr>
    </w:pPr>
  </w:p>
  <w:p w:rsidR="001A2C72" w:rsidRDefault="001A2C72" w:rsidP="00B30004">
    <w:pPr>
      <w:pStyle w:val="a3"/>
      <w:tabs>
        <w:tab w:val="clear" w:pos="4536"/>
      </w:tabs>
      <w:rPr>
        <w:b/>
        <w:sz w:val="20"/>
        <w:szCs w:val="20"/>
      </w:rPr>
    </w:pPr>
  </w:p>
  <w:p w:rsidR="001A2C72" w:rsidRPr="004339C1" w:rsidRDefault="001A2C72" w:rsidP="00B30004">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1A2C72" w:rsidRPr="004339C1" w:rsidRDefault="001A2C72" w:rsidP="00B30004">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1A2C72" w:rsidRDefault="001A2C72" w:rsidP="00B30004">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1A2C72" w:rsidRPr="002C2266" w:rsidRDefault="001A2C72" w:rsidP="00B30004">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1A2C72" w:rsidRPr="004339C1" w:rsidRDefault="001A2C72" w:rsidP="00B30004">
    <w:pPr>
      <w:pStyle w:val="a3"/>
      <w:tabs>
        <w:tab w:val="clear" w:pos="4536"/>
        <w:tab w:val="clear" w:pos="9072"/>
        <w:tab w:val="right" w:pos="11766"/>
      </w:tabs>
      <w:jc w:val="center"/>
      <w:rPr>
        <w:rFonts w:ascii="Verdana" w:hAnsi="Verdana"/>
        <w:b/>
        <w:spacing w:val="40"/>
        <w:sz w:val="20"/>
        <w:szCs w:val="20"/>
      </w:rPr>
    </w:pPr>
  </w:p>
  <w:p w:rsidR="001A2C72" w:rsidRDefault="001A2C7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D72E3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2"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8"/>
  </w:num>
  <w:num w:numId="5">
    <w:abstractNumId w:val="5"/>
  </w:num>
  <w:num w:numId="6">
    <w:abstractNumId w:val="6"/>
  </w:num>
  <w:num w:numId="7">
    <w:abstractNumId w:val="3"/>
  </w:num>
  <w:num w:numId="8">
    <w:abstractNumId w:val="2"/>
  </w:num>
  <w:num w:numId="9">
    <w:abstractNumId w:val="14"/>
  </w:num>
  <w:num w:numId="10">
    <w:abstractNumId w:val="0"/>
  </w:num>
  <w:num w:numId="11">
    <w:abstractNumId w:val="1"/>
  </w:num>
  <w:num w:numId="12">
    <w:abstractNumId w:val="12"/>
  </w:num>
  <w:num w:numId="13">
    <w:abstractNumId w:val="20"/>
  </w:num>
  <w:num w:numId="14">
    <w:abstractNumId w:val="11"/>
  </w:num>
  <w:num w:numId="15">
    <w:abstractNumId w:val="18"/>
  </w:num>
  <w:num w:numId="16">
    <w:abstractNumId w:val="19"/>
  </w:num>
  <w:num w:numId="17">
    <w:abstractNumId w:val="9"/>
  </w:num>
  <w:num w:numId="18">
    <w:abstractNumId w:val="16"/>
  </w:num>
  <w:num w:numId="19">
    <w:abstractNumId w:val="15"/>
  </w:num>
  <w:num w:numId="20">
    <w:abstractNumId w:val="13"/>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D08"/>
    <w:rsid w:val="00000117"/>
    <w:rsid w:val="00006D17"/>
    <w:rsid w:val="00014FDF"/>
    <w:rsid w:val="00017E35"/>
    <w:rsid w:val="000806B4"/>
    <w:rsid w:val="000C4400"/>
    <w:rsid w:val="00124CC4"/>
    <w:rsid w:val="00160F95"/>
    <w:rsid w:val="001A2C72"/>
    <w:rsid w:val="001D5DA0"/>
    <w:rsid w:val="001E3ABB"/>
    <w:rsid w:val="001F7FF7"/>
    <w:rsid w:val="002547CD"/>
    <w:rsid w:val="002746C9"/>
    <w:rsid w:val="00297417"/>
    <w:rsid w:val="002F5F0D"/>
    <w:rsid w:val="003405BA"/>
    <w:rsid w:val="003E1FA9"/>
    <w:rsid w:val="003F11FB"/>
    <w:rsid w:val="00406143"/>
    <w:rsid w:val="004413C9"/>
    <w:rsid w:val="004438FE"/>
    <w:rsid w:val="00447F7C"/>
    <w:rsid w:val="0049258A"/>
    <w:rsid w:val="004A41C8"/>
    <w:rsid w:val="004E45F7"/>
    <w:rsid w:val="00500E1E"/>
    <w:rsid w:val="00536ACC"/>
    <w:rsid w:val="005462DE"/>
    <w:rsid w:val="005644E5"/>
    <w:rsid w:val="00565503"/>
    <w:rsid w:val="005A4AC5"/>
    <w:rsid w:val="005B0202"/>
    <w:rsid w:val="005D74A5"/>
    <w:rsid w:val="006050A0"/>
    <w:rsid w:val="00611B34"/>
    <w:rsid w:val="00693AA9"/>
    <w:rsid w:val="006B3C8B"/>
    <w:rsid w:val="006B6923"/>
    <w:rsid w:val="0071228C"/>
    <w:rsid w:val="0073203E"/>
    <w:rsid w:val="00741CD5"/>
    <w:rsid w:val="007468D6"/>
    <w:rsid w:val="0074742A"/>
    <w:rsid w:val="00747A5E"/>
    <w:rsid w:val="007C1BDC"/>
    <w:rsid w:val="007C581B"/>
    <w:rsid w:val="008511DB"/>
    <w:rsid w:val="0085276E"/>
    <w:rsid w:val="008570DD"/>
    <w:rsid w:val="0085785D"/>
    <w:rsid w:val="0088685B"/>
    <w:rsid w:val="008B77F4"/>
    <w:rsid w:val="008F06E3"/>
    <w:rsid w:val="00990005"/>
    <w:rsid w:val="009943C4"/>
    <w:rsid w:val="009A425B"/>
    <w:rsid w:val="009D2E51"/>
    <w:rsid w:val="00A10D52"/>
    <w:rsid w:val="00A215EC"/>
    <w:rsid w:val="00A35796"/>
    <w:rsid w:val="00A53BDC"/>
    <w:rsid w:val="00A548BC"/>
    <w:rsid w:val="00A56819"/>
    <w:rsid w:val="00A644AB"/>
    <w:rsid w:val="00A83FC4"/>
    <w:rsid w:val="00A92D84"/>
    <w:rsid w:val="00A944A9"/>
    <w:rsid w:val="00AD0B78"/>
    <w:rsid w:val="00AD66F0"/>
    <w:rsid w:val="00B2422A"/>
    <w:rsid w:val="00B26130"/>
    <w:rsid w:val="00B30004"/>
    <w:rsid w:val="00B3571B"/>
    <w:rsid w:val="00B37702"/>
    <w:rsid w:val="00B52668"/>
    <w:rsid w:val="00B8165A"/>
    <w:rsid w:val="00BC6C5C"/>
    <w:rsid w:val="00BF7984"/>
    <w:rsid w:val="00C07D08"/>
    <w:rsid w:val="00C13B5D"/>
    <w:rsid w:val="00C2575B"/>
    <w:rsid w:val="00C2576C"/>
    <w:rsid w:val="00C47CCA"/>
    <w:rsid w:val="00C61E4B"/>
    <w:rsid w:val="00C66D1C"/>
    <w:rsid w:val="00CD2206"/>
    <w:rsid w:val="00D008CB"/>
    <w:rsid w:val="00D16500"/>
    <w:rsid w:val="00D32BFD"/>
    <w:rsid w:val="00D72E3A"/>
    <w:rsid w:val="00DD1B20"/>
    <w:rsid w:val="00DE651E"/>
    <w:rsid w:val="00DF5BD1"/>
    <w:rsid w:val="00E37E86"/>
    <w:rsid w:val="00E839DF"/>
    <w:rsid w:val="00EC05AA"/>
    <w:rsid w:val="00ED1B2C"/>
    <w:rsid w:val="00F01E65"/>
    <w:rsid w:val="00F12482"/>
    <w:rsid w:val="00F432E0"/>
    <w:rsid w:val="00F640F9"/>
    <w:rsid w:val="00F646F0"/>
    <w:rsid w:val="00F839C5"/>
    <w:rsid w:val="00FC1C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06C474"/>
  <w15:docId w15:val="{2ABCE980-B8D7-42F6-9841-8A0019224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6"/>
    <w:pPr>
      <w:spacing w:after="200" w:line="276" w:lineRule="auto"/>
    </w:pPr>
  </w:style>
  <w:style w:type="paragraph" w:styleId="1">
    <w:name w:val="heading 1"/>
    <w:basedOn w:val="a"/>
    <w:next w:val="a"/>
    <w:link w:val="10"/>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35796"/>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A35796"/>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A35796"/>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A35796"/>
    <w:pPr>
      <w:tabs>
        <w:tab w:val="center" w:pos="4536"/>
        <w:tab w:val="right" w:pos="9072"/>
      </w:tabs>
      <w:spacing w:after="0" w:line="240" w:lineRule="auto"/>
    </w:pPr>
  </w:style>
  <w:style w:type="character" w:customStyle="1" w:styleId="a4">
    <w:name w:val="Горен колонтитул Знак"/>
    <w:basedOn w:val="a0"/>
    <w:link w:val="a3"/>
    <w:uiPriority w:val="99"/>
    <w:rsid w:val="00A35796"/>
  </w:style>
  <w:style w:type="paragraph" w:styleId="a5">
    <w:name w:val="footer"/>
    <w:basedOn w:val="a"/>
    <w:link w:val="a6"/>
    <w:uiPriority w:val="99"/>
    <w:unhideWhenUsed/>
    <w:rsid w:val="00A35796"/>
    <w:pPr>
      <w:tabs>
        <w:tab w:val="center" w:pos="4536"/>
        <w:tab w:val="right" w:pos="9072"/>
      </w:tabs>
      <w:spacing w:after="0" w:line="240" w:lineRule="auto"/>
    </w:pPr>
  </w:style>
  <w:style w:type="character" w:customStyle="1" w:styleId="a6">
    <w:name w:val="Долен колонтитул Знак"/>
    <w:basedOn w:val="a0"/>
    <w:link w:val="a5"/>
    <w:uiPriority w:val="99"/>
    <w:rsid w:val="00A35796"/>
  </w:style>
  <w:style w:type="paragraph" w:styleId="a7">
    <w:name w:val="Balloon Text"/>
    <w:basedOn w:val="a"/>
    <w:link w:val="a8"/>
    <w:uiPriority w:val="99"/>
    <w:semiHidden/>
    <w:unhideWhenUsed/>
    <w:rsid w:val="00A357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A35796"/>
    <w:rPr>
      <w:rFonts w:ascii="Tahoma" w:hAnsi="Tahoma" w:cs="Tahoma"/>
      <w:sz w:val="16"/>
      <w:szCs w:val="16"/>
    </w:rPr>
  </w:style>
  <w:style w:type="table" w:styleId="a9">
    <w:name w:val="Table Grid"/>
    <w:basedOn w:val="a1"/>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A35796"/>
    <w:pPr>
      <w:spacing w:after="100"/>
    </w:pPr>
  </w:style>
  <w:style w:type="character" w:styleId="ab">
    <w:name w:val="Hyperlink"/>
    <w:basedOn w:val="a0"/>
    <w:uiPriority w:val="99"/>
    <w:unhideWhenUsed/>
    <w:rsid w:val="00A35796"/>
    <w:rPr>
      <w:color w:val="0563C1" w:themeColor="hyperlink"/>
      <w:u w:val="single"/>
    </w:rPr>
  </w:style>
  <w:style w:type="paragraph" w:styleId="ac">
    <w:name w:val="annotation text"/>
    <w:basedOn w:val="a"/>
    <w:link w:val="ad"/>
    <w:uiPriority w:val="99"/>
    <w:semiHidden/>
    <w:unhideWhenUsed/>
    <w:rsid w:val="00A35796"/>
    <w:pPr>
      <w:spacing w:line="240" w:lineRule="auto"/>
    </w:pPr>
    <w:rPr>
      <w:sz w:val="20"/>
      <w:szCs w:val="20"/>
    </w:rPr>
  </w:style>
  <w:style w:type="character" w:customStyle="1" w:styleId="ad">
    <w:name w:val="Текст на коментар Знак"/>
    <w:basedOn w:val="a0"/>
    <w:link w:val="ac"/>
    <w:uiPriority w:val="99"/>
    <w:semiHidden/>
    <w:rsid w:val="00A35796"/>
    <w:rPr>
      <w:sz w:val="20"/>
      <w:szCs w:val="20"/>
    </w:rPr>
  </w:style>
  <w:style w:type="character" w:styleId="ae">
    <w:name w:val="annotation reference"/>
    <w:basedOn w:val="a0"/>
    <w:uiPriority w:val="99"/>
    <w:unhideWhenUsed/>
    <w:rsid w:val="00A35796"/>
    <w:rPr>
      <w:sz w:val="16"/>
      <w:szCs w:val="16"/>
    </w:rPr>
  </w:style>
  <w:style w:type="table" w:customStyle="1" w:styleId="12">
    <w:name w:val="Мрежа в таблица1"/>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A35796"/>
  </w:style>
  <w:style w:type="paragraph" w:styleId="af1">
    <w:name w:val="annotation subject"/>
    <w:basedOn w:val="ac"/>
    <w:next w:val="ac"/>
    <w:link w:val="af2"/>
    <w:uiPriority w:val="99"/>
    <w:semiHidden/>
    <w:unhideWhenUsed/>
    <w:rsid w:val="00A35796"/>
    <w:rPr>
      <w:b/>
      <w:bCs/>
    </w:rPr>
  </w:style>
  <w:style w:type="character" w:customStyle="1" w:styleId="af2">
    <w:name w:val="Предмет на коментар Знак"/>
    <w:basedOn w:val="ad"/>
    <w:link w:val="af1"/>
    <w:uiPriority w:val="99"/>
    <w:semiHidden/>
    <w:rsid w:val="00A35796"/>
    <w:rPr>
      <w:b/>
      <w:bCs/>
      <w:sz w:val="20"/>
      <w:szCs w:val="20"/>
    </w:rPr>
  </w:style>
  <w:style w:type="paragraph" w:styleId="af3">
    <w:name w:val="footnote text"/>
    <w:basedOn w:val="a"/>
    <w:link w:val="af4"/>
    <w:uiPriority w:val="99"/>
    <w:semiHidden/>
    <w:unhideWhenUsed/>
    <w:rsid w:val="00A35796"/>
    <w:pPr>
      <w:spacing w:after="0" w:line="240" w:lineRule="auto"/>
    </w:pPr>
    <w:rPr>
      <w:sz w:val="20"/>
      <w:szCs w:val="20"/>
    </w:rPr>
  </w:style>
  <w:style w:type="character" w:customStyle="1" w:styleId="af4">
    <w:name w:val="Текст под линия Знак"/>
    <w:basedOn w:val="a0"/>
    <w:link w:val="af3"/>
    <w:uiPriority w:val="99"/>
    <w:semiHidden/>
    <w:rsid w:val="00A35796"/>
    <w:rPr>
      <w:sz w:val="20"/>
      <w:szCs w:val="20"/>
    </w:rPr>
  </w:style>
  <w:style w:type="character" w:styleId="af5">
    <w:name w:val="footnote reference"/>
    <w:aliases w:val="Footnote,Footnote symbol,Char Char Char Char Char,Знак Char Char Char Char,Char1 Char Char Char Char"/>
    <w:uiPriority w:val="99"/>
    <w:semiHidden/>
    <w:rsid w:val="00A3579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5R1698&amp;Type=201/" TargetMode="External"/><Relationship Id="rId13" Type="http://schemas.openxmlformats.org/officeDocument/2006/relationships/hyperlink" Target="apis://Base=NARH&amp;DocCode=85477&amp;Type=201/" TargetMode="External"/><Relationship Id="rId18" Type="http://schemas.openxmlformats.org/officeDocument/2006/relationships/hyperlink" Target="apis://Base=NARH&amp;DocCode=4499&amp;ToPar=Art2_Al1&amp;Type=201/"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apis://Base=APEV&amp;CELEX=32013R1303&amp;ToPar=Art65_Par11&amp;Type=201" TargetMode="External"/><Relationship Id="rId7" Type="http://schemas.openxmlformats.org/officeDocument/2006/relationships/hyperlink" Target="apis://Base=APEV&amp;CELEX=32013R1305&amp;ToPar=Art63&amp;Type=201/" TargetMode="Externa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6&amp;ToPar=Art2_Par2&amp;Type=2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83846&amp;ToPar=Art4&amp;Type=2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APEV&amp;CELEX=32013R1306&amp;ToPar=Art60&amp;Type=201/"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Base=NARH&amp;DocCode=41765&amp;ToPar=Art6&amp;Type=20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apis://Base=APEV&amp;CELEX=32013R1306&amp;Type=201" TargetMode="External"/><Relationship Id="rId19" Type="http://schemas.openxmlformats.org/officeDocument/2006/relationships/hyperlink" Target="apis://Base=APEV&amp;CELEX=32014R0809&amp;Type=201/" TargetMode="External"/><Relationship Id="rId4" Type="http://schemas.openxmlformats.org/officeDocument/2006/relationships/webSettings" Target="webSetting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06R1083&amp;Type=2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13929</Words>
  <Characters>79400</Characters>
  <Application>Microsoft Office Word</Application>
  <DocSecurity>0</DocSecurity>
  <Lines>661</Lines>
  <Paragraphs>186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99</cp:revision>
  <cp:lastPrinted>2018-11-05T13:52:00Z</cp:lastPrinted>
  <dcterms:created xsi:type="dcterms:W3CDTF">2018-10-10T12:00:00Z</dcterms:created>
  <dcterms:modified xsi:type="dcterms:W3CDTF">2018-12-19T09:37:00Z</dcterms:modified>
</cp:coreProperties>
</file>