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обл. Стара Загора, ул.“Вълко и Кабаиван“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691139" w:rsidRPr="004E443E" w:rsidRDefault="00691139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0202" w:rsidRPr="00310202" w:rsidRDefault="00691139" w:rsidP="00F00E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 w:rsidR="00AC4A43">
        <w:rPr>
          <w:rFonts w:ascii="Times New Roman" w:hAnsi="Times New Roman" w:cs="Times New Roman"/>
          <w:b/>
          <w:sz w:val="24"/>
          <w:szCs w:val="24"/>
        </w:rPr>
        <w:t xml:space="preserve">Решение от </w:t>
      </w:r>
      <w:r w:rsidR="007E5456">
        <w:rPr>
          <w:rFonts w:ascii="Times New Roman" w:hAnsi="Times New Roman" w:cs="Times New Roman"/>
          <w:b/>
          <w:sz w:val="24"/>
          <w:szCs w:val="24"/>
          <w:lang w:val="en-US"/>
        </w:rPr>
        <w:t>28</w:t>
      </w:r>
      <w:r w:rsidR="007E5456">
        <w:rPr>
          <w:rFonts w:ascii="Times New Roman" w:hAnsi="Times New Roman" w:cs="Times New Roman"/>
          <w:b/>
          <w:sz w:val="24"/>
          <w:szCs w:val="24"/>
        </w:rPr>
        <w:t>.12</w:t>
      </w:r>
      <w:bookmarkStart w:id="0" w:name="_GoBack"/>
      <w:bookmarkEnd w:id="0"/>
      <w:r w:rsidR="00F00EA0" w:rsidRPr="00F00EA0">
        <w:rPr>
          <w:rFonts w:ascii="Times New Roman" w:hAnsi="Times New Roman" w:cs="Times New Roman"/>
          <w:b/>
          <w:sz w:val="24"/>
          <w:szCs w:val="24"/>
        </w:rPr>
        <w:t>.2018 г.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EA0">
        <w:rPr>
          <w:rFonts w:ascii="Times New Roman" w:hAnsi="Times New Roman" w:cs="Times New Roman"/>
          <w:b/>
          <w:sz w:val="24"/>
          <w:szCs w:val="24"/>
        </w:rPr>
        <w:t>на МИГ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одмярка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4.2. „</w:t>
      </w:r>
      <w:r w:rsidR="003164F8" w:rsidRPr="0010658B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45F0" w:rsidRPr="003C45F0" w:rsidRDefault="003C45F0" w:rsidP="003C45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45F0">
        <w:rPr>
          <w:rFonts w:ascii="Times New Roman" w:hAnsi="Times New Roman" w:cs="Times New Roman"/>
          <w:sz w:val="24"/>
          <w:szCs w:val="24"/>
        </w:rPr>
        <w:t>Мярката цели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3C45F0" w:rsidRDefault="003C45F0" w:rsidP="003E0288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по-добро използване на факторите за производство;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въвеждане на нови продукти, процеси и технологии, включително къси вериги на доставка;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на качеството и безопасността на храните и тяхната проследяемост;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постигане на съответствие със стандартите на Европейския съюз (ЕС);</w:t>
      </w:r>
    </w:p>
    <w:p w:rsidR="003C45F0" w:rsidRPr="003E0288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опазването на околната среда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D5636C" w:rsidRPr="00D5636C" w:rsidRDefault="00D5636C" w:rsidP="00D5636C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 отговарят на следните условия:</w:t>
      </w:r>
    </w:p>
    <w:p w:rsidR="00D5636C" w:rsidRPr="00D5636C" w:rsidRDefault="00D5636C" w:rsidP="00D5636C">
      <w:pPr>
        <w:keepNext/>
        <w:keepLines/>
        <w:numPr>
          <w:ilvl w:val="0"/>
          <w:numId w:val="7"/>
        </w:numPr>
        <w:spacing w:after="0" w:line="240" w:lineRule="auto"/>
        <w:ind w:left="44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Наредба № 3 от 1999 г. (ДВ, бр. 10 от 1999 г.);</w:t>
      </w:r>
    </w:p>
    <w:p w:rsidR="00D5636C" w:rsidRPr="00D5636C" w:rsidRDefault="00D5636C" w:rsidP="00D5636C">
      <w:pPr>
        <w:keepNext/>
        <w:keepLines/>
        <w:numPr>
          <w:ilvl w:val="0"/>
          <w:numId w:val="7"/>
        </w:numPr>
        <w:spacing w:after="0" w:line="240" w:lineRule="auto"/>
        <w:ind w:left="44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минималният стандартен производствен обем на земеделското им стопанство е не по-малко от левовата равностойност на 8000 евро.</w:t>
      </w:r>
    </w:p>
    <w:p w:rsidR="00D5636C" w:rsidRPr="00D5636C" w:rsidRDefault="00D5636C" w:rsidP="00D5636C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или организации на производители или такива, одобрени за финансова помощ по мярка 9. от ПРСР 2014 - 2020 г.;</w:t>
      </w:r>
    </w:p>
    <w:p w:rsidR="00D5636C" w:rsidRPr="00D5636C" w:rsidRDefault="00D5636C" w:rsidP="00D5636C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3. еднолични търговци и юридически лица, различни от кандидатите по т. 1 и 2.</w:t>
      </w:r>
      <w:r w:rsidRPr="00D5636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(физически и юридически лица), регистрирани по ТЗ или ЗК, които са микро, малки, средни и големи предприятия.</w:t>
      </w:r>
    </w:p>
    <w:p w:rsidR="00D5636C" w:rsidRDefault="00D5636C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допустимост на кандидатите от СВОМ</w:t>
      </w:r>
      <w:r w:rsidRPr="00712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7492" w:rsidRPr="001B7492" w:rsidRDefault="001B7492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7492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Подобряване на цялостната дейност на предприятието чрез: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1. внедряване на нови и/или модернизиране на наличните мощности и подобряване на използването им,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2. внедряване на нови продукти, процеси и технологии,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3. намаляване на себестойността на произвежданата продукция,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4. постигане на съответствие с нововъведени стандарти на ЕС,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5. подобряване на сътрудничеството с производителите на суровини,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6. опазване на околната среда, включително намаляване на вредните емисии и отпадъци,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7. подобряване на енергийната ефективност в предприятията,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8. подобряване на безопасността и хигиенните условия на производство и труд,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9. подобряване на качеството и безопасността на храните и тяхната проследяемост,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10. подобряване на възможностите за производство на биологични храни чрез преработка на първични земеделски биологични продукти.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Инвестициите, обект на подкрепа следва да са свързани с:</w:t>
      </w:r>
    </w:p>
    <w:p w:rsidR="001B7492" w:rsidRDefault="001B7492" w:rsidP="001B7492">
      <w:pPr>
        <w:keepNext/>
        <w:keepLines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Преработка и/или маркетинг на продукти в обхвата на Приложение I към Договора за функциониране на Европейския съюз или на памук, с изключение на рибни продукти;</w:t>
      </w:r>
    </w:p>
    <w:p w:rsidR="001B7492" w:rsidRPr="00E97E09" w:rsidRDefault="001B7492" w:rsidP="00E97E09">
      <w:pPr>
        <w:keepNext/>
        <w:keepLines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97E09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Развитие на нови продукти, процеси и технологии за продукти в обхвата на Приложение I към Договора за функциониране на Европейския съюз или на памук, с изключение на рибни продукти.</w:t>
      </w:r>
    </w:p>
    <w:p w:rsidR="00DC3EC6" w:rsidRDefault="00DC3EC6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560" w:rsidRPr="001B7492" w:rsidRDefault="00376560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7492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производствения процес по преработка и маркетинга, в т.ч. за: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lastRenderedPageBreak/>
        <w:t>а) преработка, пакетиране, включително охлаждане, замразяване, сушене, съхраняване и др. на суровините или продукцията;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б) производство на нови продукти, въвеждане на нови технологии и процеси;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в)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г) производство на енергия от възобновяеми енергийни източници за собствените нужди на предприятието, включително чрез преработка на растителна и животинска първична и вторична биомаса;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д) подобряване на енергийната ефективност и за подобряване и контрол на качеството и безопасността на суровините и храните;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6. изграждане/модернизиране, включително оборудване на лаборатории, които са собственост на кандидата, разположени са на територията на предприятието и са пряко свързани с нуждите на производствения процес,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7. материални инвестиции за постигане на съответствие с новоприети стандарти на Съюза,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8. 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9. закупуване на софтуер,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10. за ноу-хау, придобиване на патентни права и лицензи, за регистрация на търговски марки и процеси, необходими за изготвяне и изпълнение на проекта;</w:t>
      </w:r>
    </w:p>
    <w:p w:rsidR="001143B4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 xml:space="preserve">11. </w:t>
      </w:r>
      <w:r w:rsidRPr="001143B4">
        <w:rPr>
          <w:rFonts w:ascii="Times New Roman" w:hAnsi="Times New Roman" w:cs="Times New Roman"/>
          <w:sz w:val="24"/>
          <w:szCs w:val="24"/>
        </w:rPr>
        <w:t>разходи, свързани с проекта, в т.ч. разходи за предпроектни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</w:t>
      </w:r>
      <w:r w:rsidR="001143B4" w:rsidRPr="001143B4">
        <w:t xml:space="preserve"> </w:t>
      </w:r>
      <w:r w:rsidR="001143B4" w:rsidRPr="001143B4">
        <w:rPr>
          <w:rFonts w:ascii="Times New Roman" w:hAnsi="Times New Roman" w:cs="Times New Roman"/>
          <w:sz w:val="24"/>
          <w:szCs w:val="24"/>
        </w:rPr>
        <w:t>по време на неговото изпълнение, които не могат да надхвърлят 12 на сто от общия размер на допустимите разходи по проект, включени в т. 1 - 10.</w:t>
      </w:r>
    </w:p>
    <w:p w:rsidR="002C3ED7" w:rsidRDefault="002C3ED7" w:rsidP="002C3E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</w:t>
      </w:r>
      <w:r>
        <w:rPr>
          <w:rFonts w:ascii="Times New Roman" w:hAnsi="Times New Roman" w:cs="Times New Roman"/>
          <w:sz w:val="24"/>
          <w:szCs w:val="24"/>
        </w:rPr>
        <w:lastRenderedPageBreak/>
        <w:t>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2C3ED7" w:rsidRPr="001143B4" w:rsidRDefault="002C3ED7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4E443E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AC4A4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C4A43">
        <w:rPr>
          <w:rFonts w:ascii="Times New Roman" w:hAnsi="Times New Roman" w:cs="Times New Roman"/>
          <w:sz w:val="24"/>
          <w:szCs w:val="24"/>
        </w:rPr>
        <w:t>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4E6EC3">
        <w:rPr>
          <w:rFonts w:ascii="Times New Roman" w:hAnsi="Times New Roman" w:cs="Times New Roman"/>
          <w:sz w:val="24"/>
          <w:szCs w:val="24"/>
        </w:rPr>
        <w:t>31</w:t>
      </w:r>
      <w:r w:rsidR="00AC4A43">
        <w:rPr>
          <w:rFonts w:ascii="Times New Roman" w:hAnsi="Times New Roman" w:cs="Times New Roman"/>
          <w:sz w:val="24"/>
          <w:szCs w:val="24"/>
        </w:rPr>
        <w:t>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AC4A43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972DD">
        <w:rPr>
          <w:rFonts w:ascii="Times New Roman" w:hAnsi="Times New Roman" w:cs="Times New Roman"/>
          <w:sz w:val="24"/>
          <w:szCs w:val="24"/>
        </w:rPr>
        <w:t>17:</w:t>
      </w:r>
      <w:r w:rsidR="009972DD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FD4ADE" w:rsidRDefault="00827FC5" w:rsidP="00827FC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25.03.2019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29.04</w:t>
      </w:r>
      <w:r w:rsidR="00541BA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972DD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061A0" w:rsidRPr="004E443E" w:rsidRDefault="00A061A0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300</w:t>
      </w:r>
      <w:r w:rsidR="00765D2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765D2F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0E52C8" w:rsidRDefault="000E52C8" w:rsidP="000E52C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общите допустими разходи за проект</w:t>
      </w:r>
    </w:p>
    <w:p w:rsidR="00745C0D" w:rsidRPr="00745C0D" w:rsidRDefault="009A77C6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D5197">
        <w:rPr>
          <w:rFonts w:ascii="Times New Roman" w:hAnsi="Times New Roman" w:cs="Times New Roman"/>
          <w:sz w:val="24"/>
          <w:szCs w:val="24"/>
        </w:rPr>
        <w:t xml:space="preserve">1.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745C0D" w:rsidRPr="006D5197">
        <w:rPr>
          <w:rFonts w:ascii="Times New Roman" w:hAnsi="Times New Roman" w:cs="Times New Roman"/>
          <w:sz w:val="24"/>
          <w:szCs w:val="24"/>
        </w:rPr>
        <w:t>общите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="00745C0D"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 w:rsidR="00745C0D">
        <w:rPr>
          <w:rFonts w:ascii="Times New Roman" w:hAnsi="Times New Roman" w:cs="Times New Roman"/>
          <w:sz w:val="24"/>
          <w:szCs w:val="24"/>
        </w:rPr>
        <w:t xml:space="preserve">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 30 000 лева.</w:t>
      </w:r>
    </w:p>
    <w:p w:rsidR="00745C0D" w:rsidRDefault="00745C0D" w:rsidP="00745C0D">
      <w:pPr>
        <w:widowControl w:val="0"/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2.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 w:rsidRPr="006D5197">
        <w:rPr>
          <w:rFonts w:ascii="Times New Roman" w:hAnsi="Times New Roman" w:cs="Times New Roman"/>
          <w:sz w:val="24"/>
          <w:szCs w:val="24"/>
        </w:rPr>
        <w:t>общите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391 000 лева.</w:t>
      </w:r>
    </w:p>
    <w:p w:rsidR="000E52C8" w:rsidRDefault="000E52C8" w:rsidP="000E52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безвъзмездната финансова помощ</w:t>
      </w:r>
    </w:p>
    <w:p w:rsidR="000E52C8" w:rsidRPr="008B088A" w:rsidRDefault="000E52C8" w:rsidP="000E52C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15 000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 лева</w:t>
      </w:r>
    </w:p>
    <w:p w:rsidR="000E52C8" w:rsidRPr="008B088A" w:rsidRDefault="000E52C8" w:rsidP="000E52C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4029E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БФП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195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500,00 лева</w:t>
      </w:r>
    </w:p>
    <w:p w:rsidR="000E52C8" w:rsidRPr="00D96BD8" w:rsidRDefault="000E52C8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0E20" w:rsidRPr="00590E20" w:rsidRDefault="00745C0D" w:rsidP="00A23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3.</w:t>
      </w:r>
      <w:r w:rsidR="00590E20"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Финансовата помощ е в размер на 50 %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-За проекти с дейности, подпомагани по линия на ЕПИ за селскостопанска производителност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„Агроекологични плащания“, направление „Биологично земеделие“ от ПРСР 2007 -2013 г. финансовата помощ се увеличава с 15 %.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590E20" w:rsidRPr="00590E20" w:rsidRDefault="00590E20" w:rsidP="00A238DE">
      <w:pPr>
        <w:spacing w:before="120" w:after="60"/>
        <w:jc w:val="both"/>
        <w:outlineLvl w:val="5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F36ABB" w:rsidRDefault="00F36AB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7C6" w:rsidRPr="004E443E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6166"/>
        <w:gridCol w:w="2390"/>
      </w:tblGrid>
      <w:tr w:rsidR="009A77C6" w:rsidRPr="0010658B" w:rsidTr="00F667F6">
        <w:trPr>
          <w:trHeight w:val="354"/>
          <w:tblHeader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 xml:space="preserve">КРИТЕРИИ ЗА ИЗБОР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Максимален брой точки</w:t>
            </w:r>
          </w:p>
        </w:tc>
      </w:tr>
      <w:tr w:rsidR="009A77C6" w:rsidRPr="0010658B" w:rsidTr="00F667F6">
        <w:trPr>
          <w:trHeight w:val="99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инвестиции за преработка на суровини от чувствителни сектори</w:t>
            </w:r>
            <w:r>
              <w:rPr>
                <w:rFonts w:ascii="Times New Roman" w:hAnsi="Times New Roman"/>
                <w:lang w:eastAsia="sr-Cyrl-CS"/>
              </w:rPr>
              <w:t xml:space="preserve"> (мляко и млечни продукти, етерично-маслени и медицински култури)</w:t>
            </w:r>
            <w:r w:rsidRPr="0010658B">
              <w:rPr>
                <w:rFonts w:ascii="Times New Roman" w:hAnsi="Times New Roman"/>
                <w:lang w:eastAsia="sr-Cyrl-CS"/>
              </w:rPr>
              <w:t xml:space="preserve"> - над 75% от обема на преработваните суровини са от растителен или животински произход, попадащи в обхвата на чувствителните сектори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101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създава нови работни места: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1 до 3 работни места, вкл. – 5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4 до 6 работни места, вкл. – 10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Над 7 работни места – 15 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50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въвеждане на нови и енергоспестяващи технологии и/или иновации в преработвателната промишленост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10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преработка на биологични суровини и производство на биологични продукти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8</w:t>
            </w:r>
          </w:p>
        </w:tc>
      </w:tr>
      <w:tr w:rsidR="009A77C6" w:rsidRPr="0010658B" w:rsidTr="00F667F6">
        <w:trPr>
          <w:trHeight w:val="75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с 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9A77C6" w:rsidRPr="0010658B" w:rsidTr="00F667F6">
        <w:trPr>
          <w:trHeight w:val="25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предлага ново за населеното място производство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ОБЩО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60</w:t>
            </w:r>
          </w:p>
        </w:tc>
      </w:tr>
    </w:tbl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оценка, свързан с насърчаването на иновациите и енергоспестяващите технологии.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315855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2C3ED7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337" w:rsidRDefault="00B85337" w:rsidP="00FB3427">
      <w:pPr>
        <w:spacing w:after="0" w:line="240" w:lineRule="auto"/>
      </w:pPr>
      <w:r>
        <w:separator/>
      </w:r>
    </w:p>
  </w:endnote>
  <w:endnote w:type="continuationSeparator" w:id="0">
    <w:p w:rsidR="00B85337" w:rsidRDefault="00B85337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337" w:rsidRDefault="00B85337" w:rsidP="00FB3427">
      <w:pPr>
        <w:spacing w:after="0" w:line="240" w:lineRule="auto"/>
      </w:pPr>
      <w:r>
        <w:separator/>
      </w:r>
    </w:p>
  </w:footnote>
  <w:footnote w:type="continuationSeparator" w:id="0">
    <w:p w:rsidR="00B85337" w:rsidRDefault="00B85337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2413"/>
    <w:multiLevelType w:val="hybridMultilevel"/>
    <w:tmpl w:val="34620F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875D0"/>
    <w:multiLevelType w:val="hybridMultilevel"/>
    <w:tmpl w:val="11F68A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4E4E"/>
    <w:multiLevelType w:val="hybridMultilevel"/>
    <w:tmpl w:val="B48AA7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74CBF"/>
    <w:multiLevelType w:val="hybridMultilevel"/>
    <w:tmpl w:val="FE14F3A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765BC"/>
    <w:multiLevelType w:val="hybridMultilevel"/>
    <w:tmpl w:val="4F82B0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434B3"/>
    <w:rsid w:val="00051F1B"/>
    <w:rsid w:val="000E52C8"/>
    <w:rsid w:val="000E531B"/>
    <w:rsid w:val="001004C9"/>
    <w:rsid w:val="00107878"/>
    <w:rsid w:val="001143B4"/>
    <w:rsid w:val="00135C40"/>
    <w:rsid w:val="0014187A"/>
    <w:rsid w:val="00154991"/>
    <w:rsid w:val="00184832"/>
    <w:rsid w:val="001A142B"/>
    <w:rsid w:val="001B52FA"/>
    <w:rsid w:val="001B7492"/>
    <w:rsid w:val="0024779A"/>
    <w:rsid w:val="002524DC"/>
    <w:rsid w:val="0025597E"/>
    <w:rsid w:val="002B2444"/>
    <w:rsid w:val="002C3ED7"/>
    <w:rsid w:val="00310202"/>
    <w:rsid w:val="00311586"/>
    <w:rsid w:val="00315855"/>
    <w:rsid w:val="003164F8"/>
    <w:rsid w:val="00324841"/>
    <w:rsid w:val="003359D4"/>
    <w:rsid w:val="0035295B"/>
    <w:rsid w:val="00376560"/>
    <w:rsid w:val="00394CDA"/>
    <w:rsid w:val="003C45F0"/>
    <w:rsid w:val="003E0288"/>
    <w:rsid w:val="003E2126"/>
    <w:rsid w:val="004009BD"/>
    <w:rsid w:val="004029EE"/>
    <w:rsid w:val="00413DEE"/>
    <w:rsid w:val="0041608E"/>
    <w:rsid w:val="00424947"/>
    <w:rsid w:val="0043261D"/>
    <w:rsid w:val="00451591"/>
    <w:rsid w:val="004713BD"/>
    <w:rsid w:val="004A0F9B"/>
    <w:rsid w:val="004E443E"/>
    <w:rsid w:val="004E6EC3"/>
    <w:rsid w:val="00541BAD"/>
    <w:rsid w:val="005555A2"/>
    <w:rsid w:val="00590E20"/>
    <w:rsid w:val="005D6B2F"/>
    <w:rsid w:val="005E5980"/>
    <w:rsid w:val="006528B8"/>
    <w:rsid w:val="00691139"/>
    <w:rsid w:val="00694881"/>
    <w:rsid w:val="006A38B6"/>
    <w:rsid w:val="006D4D4D"/>
    <w:rsid w:val="006E45A3"/>
    <w:rsid w:val="0071247C"/>
    <w:rsid w:val="007204C5"/>
    <w:rsid w:val="0072121D"/>
    <w:rsid w:val="0074434A"/>
    <w:rsid w:val="00745C0D"/>
    <w:rsid w:val="00765D2F"/>
    <w:rsid w:val="00771D65"/>
    <w:rsid w:val="007B5977"/>
    <w:rsid w:val="007C0696"/>
    <w:rsid w:val="007E5456"/>
    <w:rsid w:val="00827FC5"/>
    <w:rsid w:val="008421CF"/>
    <w:rsid w:val="00846733"/>
    <w:rsid w:val="008E3268"/>
    <w:rsid w:val="00916AB0"/>
    <w:rsid w:val="009421F3"/>
    <w:rsid w:val="009437C4"/>
    <w:rsid w:val="00947461"/>
    <w:rsid w:val="009762D1"/>
    <w:rsid w:val="009972DD"/>
    <w:rsid w:val="009A2D27"/>
    <w:rsid w:val="009A77C6"/>
    <w:rsid w:val="009A7F7E"/>
    <w:rsid w:val="00A061A0"/>
    <w:rsid w:val="00A238DE"/>
    <w:rsid w:val="00AC4A43"/>
    <w:rsid w:val="00AE0385"/>
    <w:rsid w:val="00AE2BD8"/>
    <w:rsid w:val="00B0420E"/>
    <w:rsid w:val="00B76DD5"/>
    <w:rsid w:val="00B85337"/>
    <w:rsid w:val="00B94D96"/>
    <w:rsid w:val="00B95681"/>
    <w:rsid w:val="00BD3D35"/>
    <w:rsid w:val="00C6063A"/>
    <w:rsid w:val="00C64BDA"/>
    <w:rsid w:val="00C65957"/>
    <w:rsid w:val="00C718E7"/>
    <w:rsid w:val="00C87BE1"/>
    <w:rsid w:val="00C95A5C"/>
    <w:rsid w:val="00CA35D6"/>
    <w:rsid w:val="00CC561D"/>
    <w:rsid w:val="00CC62FA"/>
    <w:rsid w:val="00D5636C"/>
    <w:rsid w:val="00D90FA3"/>
    <w:rsid w:val="00DA0A14"/>
    <w:rsid w:val="00DC3EC6"/>
    <w:rsid w:val="00DC51BF"/>
    <w:rsid w:val="00DE5C2D"/>
    <w:rsid w:val="00E03426"/>
    <w:rsid w:val="00E87D77"/>
    <w:rsid w:val="00E94744"/>
    <w:rsid w:val="00E97E09"/>
    <w:rsid w:val="00EE3EF6"/>
    <w:rsid w:val="00F00EA0"/>
    <w:rsid w:val="00F27B5B"/>
    <w:rsid w:val="00F36ABB"/>
    <w:rsid w:val="00F45AD5"/>
    <w:rsid w:val="00F60FFA"/>
    <w:rsid w:val="00F667F6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6E40CA"/>
  <w15:docId w15:val="{364C87D5-A365-4195-A726-3E6AB363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1939</Words>
  <Characters>11057</Characters>
  <Application>Microsoft Office Word</Application>
  <DocSecurity>0</DocSecurity>
  <Lines>92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87</cp:revision>
  <dcterms:created xsi:type="dcterms:W3CDTF">2018-01-26T10:26:00Z</dcterms:created>
  <dcterms:modified xsi:type="dcterms:W3CDTF">2019-01-02T12:27:00Z</dcterms:modified>
</cp:coreProperties>
</file>