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B2A" w:rsidRP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 w:rsidRPr="001467BE">
        <w:rPr>
          <w:b/>
        </w:rPr>
        <w:t xml:space="preserve">Приложение № </w:t>
      </w:r>
      <w:r>
        <w:rPr>
          <w:b/>
        </w:rPr>
        <w:t>1</w:t>
      </w:r>
      <w:r w:rsidR="00B42B54">
        <w:rPr>
          <w:b/>
        </w:rPr>
        <w:t>0</w:t>
      </w:r>
      <w:bookmarkStart w:id="0" w:name="_GoBack"/>
      <w:bookmarkEnd w:id="0"/>
    </w:p>
    <w:p w:rsid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566E14" w:rsidRPr="00DC730A" w:rsidRDefault="00566E14" w:rsidP="00566E14">
      <w:pPr>
        <w:spacing w:line="276" w:lineRule="auto"/>
        <w:ind w:left="4320" w:firstLine="720"/>
        <w:rPr>
          <w:b/>
          <w:lang w:val="en-US"/>
        </w:rPr>
      </w:pPr>
    </w:p>
    <w:p w:rsidR="00566E14" w:rsidRPr="00DC730A" w:rsidRDefault="00566E14" w:rsidP="00566E14"/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val="en-US"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Програма за развитие на селските райони 2014-2020 г.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АНАЛИЗ РАЗХОДИ –ПОЛЗИ</w:t>
      </w:r>
    </w:p>
    <w:p w:rsidR="00164FA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(финансов анализ)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Подмярка 19.2 „</w:t>
      </w:r>
      <w:r w:rsidRPr="00DC730A">
        <w:rPr>
          <w:b/>
          <w:bCs/>
          <w:i/>
          <w:sz w:val="28"/>
          <w:szCs w:val="28"/>
          <w:lang w:eastAsia="en-US"/>
        </w:rPr>
        <w:t>Прилагане на операции в рамките на стратегии за Водено от общностите местно развитие</w:t>
      </w:r>
      <w:r w:rsidRPr="00DC730A">
        <w:rPr>
          <w:b/>
          <w:i/>
          <w:sz w:val="28"/>
          <w:szCs w:val="28"/>
          <w:lang w:eastAsia="en-US"/>
        </w:rPr>
        <w:t>”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8"/>
          <w:szCs w:val="28"/>
          <w:lang w:eastAsia="en-US"/>
        </w:rPr>
      </w:pPr>
      <w:r w:rsidRPr="00DC730A">
        <w:rPr>
          <w:i/>
          <w:sz w:val="28"/>
          <w:szCs w:val="28"/>
          <w:lang w:eastAsia="en-US"/>
        </w:rPr>
        <w:t>Наименование на проектното предложение: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pStyle w:val="3"/>
        <w:spacing w:after="0"/>
        <w:jc w:val="center"/>
        <w:rPr>
          <w:b/>
          <w:i/>
          <w:sz w:val="44"/>
          <w:szCs w:val="44"/>
        </w:rPr>
      </w:pPr>
      <w:r w:rsidRPr="00DC730A">
        <w:rPr>
          <w:b/>
          <w:i/>
          <w:sz w:val="44"/>
          <w:szCs w:val="44"/>
        </w:rPr>
        <w:t>...................................................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 xml:space="preserve"> (име на кандидата)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Сума на инвестицията</w:t>
      </w:r>
      <w:r w:rsidRPr="00DC730A">
        <w:rPr>
          <w:i/>
          <w:sz w:val="24"/>
          <w:szCs w:val="24"/>
          <w:lang w:val="en-US" w:eastAsia="en-US"/>
        </w:rPr>
        <w:t xml:space="preserve"> </w:t>
      </w:r>
      <w:r w:rsidRPr="00DC730A">
        <w:rPr>
          <w:i/>
          <w:sz w:val="24"/>
          <w:szCs w:val="24"/>
          <w:lang w:eastAsia="en-US"/>
        </w:rPr>
        <w:t xml:space="preserve"> </w:t>
      </w:r>
      <w:r w:rsidRPr="00DC730A">
        <w:rPr>
          <w:b/>
          <w:i/>
          <w:sz w:val="36"/>
          <w:szCs w:val="36"/>
          <w:lang w:eastAsia="en-US"/>
        </w:rPr>
        <w:t xml:space="preserve">...................... </w:t>
      </w:r>
      <w:r w:rsidRPr="00DC730A">
        <w:rPr>
          <w:b/>
          <w:i/>
          <w:sz w:val="24"/>
          <w:szCs w:val="24"/>
          <w:lang w:eastAsia="en-US"/>
        </w:rPr>
        <w:t>л</w:t>
      </w:r>
      <w:r w:rsidRPr="00DC730A">
        <w:rPr>
          <w:i/>
          <w:sz w:val="24"/>
          <w:szCs w:val="24"/>
          <w:lang w:eastAsia="en-US"/>
        </w:rPr>
        <w:t>в.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(</w:t>
      </w:r>
      <w:r w:rsidR="00164FA4" w:rsidRPr="00DC730A">
        <w:rPr>
          <w:i/>
          <w:sz w:val="24"/>
          <w:szCs w:val="24"/>
          <w:lang w:eastAsia="en-US"/>
        </w:rPr>
        <w:t xml:space="preserve">не се </w:t>
      </w:r>
      <w:r w:rsidRPr="00DC730A">
        <w:rPr>
          <w:i/>
          <w:sz w:val="24"/>
          <w:szCs w:val="24"/>
          <w:lang w:eastAsia="en-US"/>
        </w:rPr>
        <w:t xml:space="preserve">посочват </w:t>
      </w:r>
      <w:r w:rsidR="00164FA4" w:rsidRPr="00DC730A">
        <w:rPr>
          <w:i/>
          <w:sz w:val="24"/>
          <w:szCs w:val="24"/>
          <w:lang w:eastAsia="en-US"/>
        </w:rPr>
        <w:t>оперативните разходи</w:t>
      </w:r>
      <w:r w:rsidRPr="00DC730A">
        <w:rPr>
          <w:i/>
          <w:sz w:val="24"/>
          <w:szCs w:val="24"/>
          <w:lang w:eastAsia="en-US"/>
        </w:rPr>
        <w:t>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5664"/>
        <w:jc w:val="both"/>
        <w:rPr>
          <w:b/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3540" w:firstLine="708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Име/Подпис:.........................................................</w:t>
      </w:r>
    </w:p>
    <w:p w:rsidR="00C60215" w:rsidRPr="00DC730A" w:rsidRDefault="00C60215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A42EE3" w:rsidRPr="00DC730A" w:rsidRDefault="00A42EE3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Целта на Анализа разходи-ползи (финансов анализ) е да се определи размера на интензитета на финансовата помощ за проекта. В случаите когато Финансовата нетна настояща стойност (FNPV) е отрицателна или равна на нула, то интензитетът се определя на 100 на сто от одобрените допустими разходи. Всяка друга стойност на FNPV води до намаляване на интензитета на подпомагане. А в случаите когато проектното предложение е по мярка, която не е включена в ПРСР 2014 - 2020 г. и не е част от </w:t>
      </w:r>
      <w:hyperlink r:id="rId7" w:history="1">
        <w:r w:rsidRPr="00DC730A">
          <w:rPr>
            <w:rStyle w:val="a4"/>
            <w:b/>
            <w:color w:val="auto"/>
            <w:sz w:val="24"/>
            <w:szCs w:val="24"/>
            <w:u w:val="none"/>
            <w:lang w:eastAsia="en-US"/>
          </w:rPr>
          <w:t>Регламент (EC) № 1305/2013</w:t>
        </w:r>
      </w:hyperlink>
      <w:r w:rsidRPr="00DC730A">
        <w:rPr>
          <w:b/>
          <w:sz w:val="24"/>
          <w:szCs w:val="24"/>
          <w:lang w:eastAsia="en-US"/>
        </w:rPr>
        <w:t>, се прилагат и правилата съгласно чл. 9, ал. 2, т. 2, букви а). и б). от Наредба № 22 от 14.12.2015 г.</w:t>
      </w:r>
    </w:p>
    <w:p w:rsidR="00DB216B" w:rsidRPr="00DC730A" w:rsidRDefault="00DB216B" w:rsidP="00DB216B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В случай че проектът генерира </w:t>
      </w:r>
      <w:r w:rsidR="006C1A73" w:rsidRPr="00DC730A">
        <w:rPr>
          <w:b/>
          <w:sz w:val="24"/>
          <w:szCs w:val="24"/>
          <w:lang w:eastAsia="en-US"/>
        </w:rPr>
        <w:t>печалба</w:t>
      </w:r>
      <w:r w:rsidR="000E1C29" w:rsidRPr="00DC730A">
        <w:rPr>
          <w:b/>
          <w:sz w:val="24"/>
          <w:szCs w:val="24"/>
          <w:lang w:eastAsia="en-US"/>
        </w:rPr>
        <w:t>,</w:t>
      </w:r>
      <w:r w:rsidRPr="00DC730A">
        <w:rPr>
          <w:b/>
          <w:sz w:val="24"/>
          <w:szCs w:val="24"/>
          <w:lang w:eastAsia="en-US"/>
        </w:rPr>
        <w:t xml:space="preserve"> </w:t>
      </w:r>
      <w:r w:rsidR="00576112" w:rsidRPr="00DC730A">
        <w:rPr>
          <w:b/>
          <w:sz w:val="24"/>
          <w:szCs w:val="24"/>
          <w:lang w:eastAsia="en-US"/>
        </w:rPr>
        <w:t xml:space="preserve">освен </w:t>
      </w:r>
      <w:r w:rsidRPr="00DC730A">
        <w:rPr>
          <w:b/>
          <w:sz w:val="24"/>
          <w:szCs w:val="24"/>
          <w:lang w:eastAsia="en-US"/>
        </w:rPr>
        <w:t>F</w:t>
      </w:r>
      <w:r w:rsidR="00576112" w:rsidRPr="00DC730A">
        <w:rPr>
          <w:b/>
          <w:sz w:val="24"/>
          <w:szCs w:val="24"/>
          <w:lang w:eastAsia="en-US"/>
        </w:rPr>
        <w:t xml:space="preserve">NPV се изчислява и </w:t>
      </w:r>
      <w:r w:rsidR="00576112" w:rsidRPr="00DC730A">
        <w:rPr>
          <w:b/>
          <w:sz w:val="24"/>
          <w:szCs w:val="24"/>
          <w:lang w:val="en-US" w:eastAsia="en-US"/>
        </w:rPr>
        <w:t>F</w:t>
      </w:r>
      <w:r w:rsidRPr="00DC730A">
        <w:rPr>
          <w:b/>
          <w:sz w:val="24"/>
          <w:szCs w:val="24"/>
          <w:lang w:eastAsia="en-US"/>
        </w:rPr>
        <w:t>RR</w:t>
      </w:r>
      <w:r w:rsidRPr="00DC730A">
        <w:rPr>
          <w:b/>
          <w:bCs/>
          <w:sz w:val="24"/>
          <w:szCs w:val="24"/>
          <w:lang w:eastAsia="en-US"/>
        </w:rPr>
        <w:t xml:space="preserve"> (</w:t>
      </w:r>
      <w:r w:rsidRPr="00DC730A">
        <w:rPr>
          <w:b/>
          <w:sz w:val="24"/>
          <w:szCs w:val="24"/>
          <w:lang w:eastAsia="en-US"/>
        </w:rPr>
        <w:t>Финансовата вътрешна норма на възвръщаемост на инвестицията)</w:t>
      </w:r>
      <w:r w:rsidR="003F01EC" w:rsidRPr="00DC730A">
        <w:rPr>
          <w:b/>
          <w:sz w:val="24"/>
          <w:szCs w:val="24"/>
          <w:lang w:val="en-US" w:eastAsia="en-US"/>
        </w:rPr>
        <w:t xml:space="preserve">. </w:t>
      </w:r>
      <w:r w:rsidRPr="00DC730A">
        <w:rPr>
          <w:b/>
          <w:sz w:val="24"/>
          <w:szCs w:val="24"/>
          <w:lang w:eastAsia="en-US"/>
        </w:rPr>
        <w:t xml:space="preserve"> </w:t>
      </w:r>
      <w:r w:rsidR="003F01EC" w:rsidRPr="00DC730A">
        <w:rPr>
          <w:b/>
          <w:sz w:val="24"/>
          <w:szCs w:val="24"/>
          <w:lang w:val="en-US" w:eastAsia="en-US"/>
        </w:rPr>
        <w:t>F</w:t>
      </w:r>
      <w:r w:rsidR="003F01EC" w:rsidRPr="00DC730A">
        <w:rPr>
          <w:b/>
          <w:sz w:val="24"/>
          <w:szCs w:val="24"/>
          <w:lang w:eastAsia="en-US"/>
        </w:rPr>
        <w:t xml:space="preserve">RR </w:t>
      </w:r>
      <w:r w:rsidRPr="00DC730A">
        <w:rPr>
          <w:b/>
          <w:sz w:val="24"/>
          <w:szCs w:val="24"/>
          <w:lang w:eastAsia="en-US"/>
        </w:rPr>
        <w:t xml:space="preserve">следва да бъде по-малка или равна на дисконтовата норма, равна на 4%, за да се счита че проектът е нежизнеспособен и има нужда от безвъзмездно финансиране. </w:t>
      </w:r>
    </w:p>
    <w:p w:rsidR="00DB216B" w:rsidRPr="00DC730A" w:rsidRDefault="00DB216B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A42EE3" w:rsidRPr="00DC730A" w:rsidRDefault="00ED26D2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Ползвателят на помощта е длъжен да води всички финансови операции, св</w:t>
      </w:r>
      <w:r w:rsidR="00A54B48" w:rsidRPr="00DC730A">
        <w:rPr>
          <w:b/>
          <w:sz w:val="24"/>
          <w:szCs w:val="24"/>
          <w:lang w:eastAsia="en-US"/>
        </w:rPr>
        <w:t>ързани с подпомаганите дейности</w:t>
      </w:r>
      <w:r w:rsidRPr="00DC730A">
        <w:rPr>
          <w:b/>
          <w:sz w:val="24"/>
          <w:szCs w:val="24"/>
          <w:lang w:eastAsia="en-US"/>
        </w:rPr>
        <w:t xml:space="preserve"> отделно в счетоводната си система или като използва счетоводни сметки с подходящи номера от датата на сключване на договора за предоставяне на финансова помощ до пет години от датата на получаване на окончателно плащане, а в случаите на държавна или минимална помощ - в срок до десет години от датата на сключване на договора за предоставяне на финансова помощ.</w:t>
      </w:r>
    </w:p>
    <w:p w:rsidR="009C6E39" w:rsidRPr="00DC730A" w:rsidRDefault="009C6E39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7E18CA" w:rsidRPr="00DC730A" w:rsidRDefault="007E18CA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B8188C" w:rsidRPr="00DC730A" w:rsidRDefault="00B8188C" w:rsidP="00B8188C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 xml:space="preserve">Указания: </w:t>
      </w:r>
    </w:p>
    <w:p w:rsidR="00B8188C" w:rsidRPr="00DC730A" w:rsidRDefault="00B8188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Анализът се изисква </w:t>
      </w:r>
      <w:r w:rsidRPr="00DC730A">
        <w:rPr>
          <w:b/>
          <w:i/>
          <w:lang w:val="bg-BG"/>
        </w:rPr>
        <w:t>в случаите когато кандидат е</w:t>
      </w:r>
      <w:r w:rsidR="00BD3A46" w:rsidRPr="00DC730A">
        <w:rPr>
          <w:b/>
          <w:i/>
          <w:lang w:val="bg-BG"/>
        </w:rPr>
        <w:t>:</w:t>
      </w:r>
      <w:r w:rsidRPr="00DC730A">
        <w:rPr>
          <w:b/>
          <w:i/>
          <w:lang w:val="bg-BG"/>
        </w:rPr>
        <w:t xml:space="preserve"> публично лице</w:t>
      </w:r>
      <w:r w:rsidR="00BD3A46" w:rsidRPr="00DC730A">
        <w:rPr>
          <w:b/>
          <w:i/>
          <w:lang w:val="bg-BG"/>
        </w:rPr>
        <w:t xml:space="preserve"> или</w:t>
      </w:r>
      <w:r w:rsidR="00A57BE0" w:rsidRPr="00DC730A">
        <w:rPr>
          <w:b/>
          <w:i/>
          <w:lang w:val="bg-BG"/>
        </w:rPr>
        <w:t xml:space="preserve"> читалище</w:t>
      </w:r>
      <w:r w:rsidR="00BD3A46" w:rsidRPr="00DC730A">
        <w:rPr>
          <w:b/>
          <w:i/>
          <w:lang w:val="bg-BG"/>
        </w:rPr>
        <w:t>,</w:t>
      </w:r>
      <w:r w:rsidR="00A57BE0" w:rsidRPr="00DC730A">
        <w:rPr>
          <w:b/>
          <w:i/>
          <w:lang w:val="bg-BG"/>
        </w:rPr>
        <w:t xml:space="preserve"> или юридическо лице с нестопанска цел</w:t>
      </w:r>
      <w:r w:rsidR="00BD3A46" w:rsidRPr="00DC730A">
        <w:rPr>
          <w:b/>
          <w:i/>
          <w:lang w:val="bg-BG"/>
        </w:rPr>
        <w:t>,</w:t>
      </w:r>
      <w:r w:rsidR="004B1191" w:rsidRPr="00DC730A">
        <w:rPr>
          <w:b/>
          <w:i/>
          <w:lang w:val="bg-BG"/>
        </w:rPr>
        <w:t xml:space="preserve"> или</w:t>
      </w:r>
      <w:r w:rsidR="00F30A2B" w:rsidRPr="00DC730A">
        <w:rPr>
          <w:b/>
          <w:i/>
          <w:lang w:val="bg-BG"/>
        </w:rPr>
        <w:t xml:space="preserve"> ВиК оператор</w:t>
      </w:r>
      <w:r w:rsidR="003E0109" w:rsidRPr="00DC730A">
        <w:rPr>
          <w:b/>
          <w:i/>
          <w:lang w:val="en-US"/>
        </w:rPr>
        <w:t xml:space="preserve">. </w:t>
      </w:r>
      <w:r w:rsidR="003E0109" w:rsidRPr="00DC730A">
        <w:rPr>
          <w:b/>
          <w:i/>
          <w:lang w:val="bg-BG"/>
        </w:rPr>
        <w:t xml:space="preserve">Анализът се подава </w:t>
      </w:r>
      <w:r w:rsidR="002A07F5" w:rsidRPr="00DC730A">
        <w:rPr>
          <w:b/>
          <w:i/>
        </w:rPr>
        <w:t>по образец, утвърден от изпълнителния директор на Държавен фонд „Земеделие";</w:t>
      </w:r>
    </w:p>
    <w:p w:rsidR="00494D43" w:rsidRPr="00DC730A" w:rsidRDefault="00955A0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В случай, че проектът генерира приходи </w:t>
      </w:r>
      <w:r w:rsidR="00F607FF" w:rsidRPr="00DC730A">
        <w:rPr>
          <w:b/>
          <w:i/>
          <w:lang w:val="bg-BG"/>
        </w:rPr>
        <w:t xml:space="preserve">анализът </w:t>
      </w:r>
      <w:r w:rsidRPr="00DC730A">
        <w:rPr>
          <w:b/>
          <w:i/>
        </w:rPr>
        <w:t>се попълва за референтен период от 10 години.</w:t>
      </w:r>
      <w:r w:rsidR="004F6583" w:rsidRPr="00DC730A">
        <w:rPr>
          <w:b/>
          <w:i/>
          <w:lang w:val="bg-BG"/>
        </w:rPr>
        <w:t xml:space="preserve"> В противен случай се попълват данни само за референтна година "n" (или години "n+1", "n+2" и т.н.), в която (в които) се извършват дейностите по проекта.</w:t>
      </w:r>
      <w:r w:rsidR="002A07F5" w:rsidRPr="00DC730A">
        <w:rPr>
          <w:b/>
          <w:i/>
        </w:rPr>
        <w:t xml:space="preserve"> </w:t>
      </w:r>
    </w:p>
    <w:p w:rsidR="00FE0EDF" w:rsidRPr="00DC730A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lastRenderedPageBreak/>
        <w:t xml:space="preserve">Кандидатът/законният представител на кандидата задължително подписва собственоръчно и подпечатва всяка страница </w:t>
      </w:r>
      <w:r w:rsidRPr="00DC730A">
        <w:rPr>
          <w:b/>
          <w:i/>
          <w:lang w:val="bg-BG"/>
        </w:rPr>
        <w:t>на анализа</w:t>
      </w:r>
      <w:r w:rsidRPr="00DC730A">
        <w:rPr>
          <w:b/>
          <w:i/>
        </w:rPr>
        <w:t>.</w:t>
      </w:r>
    </w:p>
    <w:p w:rsidR="00FE0EDF" w:rsidRPr="00DC730A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В приложените в </w:t>
      </w:r>
      <w:r w:rsidR="00390C15" w:rsidRPr="00DC730A">
        <w:rPr>
          <w:b/>
          <w:i/>
          <w:lang w:val="bg-BG"/>
        </w:rPr>
        <w:t xml:space="preserve">анализа </w:t>
      </w:r>
      <w:r w:rsidRPr="00DC730A">
        <w:rPr>
          <w:b/>
          <w:i/>
        </w:rPr>
        <w:t>таблици могат да се добавят допълнителни редове в зависимост от спецификата на дейността, за която се кандидатства.</w:t>
      </w:r>
    </w:p>
    <w:p w:rsidR="00F05234" w:rsidRPr="00DC730A" w:rsidRDefault="00F05234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>Паричните потоци се дисконтират към текущия настоящ момент, като се използва финансова норма на дисконтиране от 4 % в реално изражение.</w:t>
      </w:r>
    </w:p>
    <w:p w:rsidR="004D6557" w:rsidRPr="00DC730A" w:rsidRDefault="004D6557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  <w:lang w:val="bg-BG"/>
        </w:rPr>
        <w:t>Когато данъкът върху добавената стойност (ДДС) не е допустим разход по силата на член 69, параграф 3, буква в) от Регламент (ЕС) № 1303/2013, изчислението на</w:t>
      </w:r>
      <w:r w:rsidR="008103A5" w:rsidRPr="00DC730A">
        <w:rPr>
          <w:b/>
          <w:i/>
          <w:lang w:val="bg-BG"/>
        </w:rPr>
        <w:t xml:space="preserve"> нетната настояща стойност и на</w:t>
      </w:r>
      <w:r w:rsidRPr="00DC730A">
        <w:rPr>
          <w:b/>
          <w:i/>
          <w:lang w:val="bg-BG"/>
        </w:rPr>
        <w:t xml:space="preserve"> дисконтираните нетни приходи се извършва въз основа на стойностите без ДДС.</w:t>
      </w:r>
    </w:p>
    <w:p w:rsidR="008103A5" w:rsidRPr="00DC730A" w:rsidRDefault="008103A5" w:rsidP="008103A5">
      <w:pPr>
        <w:pStyle w:val="a3"/>
        <w:spacing w:line="276" w:lineRule="auto"/>
        <w:jc w:val="both"/>
        <w:rPr>
          <w:b/>
          <w:i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I. Въведение</w:t>
      </w: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Кратко описание на проекта</w:t>
      </w:r>
    </w:p>
    <w:p w:rsidR="005363B2" w:rsidRPr="00DC730A" w:rsidRDefault="005363B2" w:rsidP="005363B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Очакван резултат от реализацията на дейностите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BE201F">
      <w:r w:rsidRPr="00425ABB">
        <w:rPr>
          <w:noProof/>
        </w:rPr>
        <w:lastRenderedPageBreak/>
        <w:drawing>
          <wp:inline distT="0" distB="0" distL="0" distR="0">
            <wp:extent cx="5753100" cy="345757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E1" w:rsidRPr="00DC730A" w:rsidRDefault="00B564E1"/>
    <w:p w:rsidR="00B564E1" w:rsidRPr="00DC730A" w:rsidRDefault="00B564E1"/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5925"/>
        <w:gridCol w:w="1842"/>
      </w:tblGrid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Табл. Б1А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Цели, специфични за ЕЗФРСР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315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Цел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Вярното се маркира с "Х"</w:t>
            </w:r>
          </w:p>
        </w:tc>
      </w:tr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и стимулиране на предприемачество и устойчив бизнес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564E1" w:rsidRPr="00DC730A" w:rsidTr="00B564E1">
        <w:trPr>
          <w:trHeight w:val="31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Допустимо е отбелязването на повече от едно съответствие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3137BB" w:rsidRPr="00DC730A" w:rsidRDefault="003137BB"/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530"/>
        <w:gridCol w:w="1418"/>
        <w:gridCol w:w="2127"/>
        <w:gridCol w:w="3685"/>
      </w:tblGrid>
      <w:tr w:rsidR="00DC730A" w:rsidRPr="00DC730A" w:rsidTr="00CA7F1B">
        <w:trPr>
          <w:trHeight w:val="67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Табл. Б2 Заетост (не се попълва за кандидати общини)</w:t>
            </w: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br/>
              <w:t>(Важно! Средносписъчният брой на персонала, който се попълва в колона Г, се вписва като задължение за изпълнение в административния договор за отпускане на БФП)</w:t>
            </w:r>
          </w:p>
        </w:tc>
      </w:tr>
      <w:tr w:rsidR="00DC730A" w:rsidRPr="00DC730A" w:rsidTr="00CA7F1B">
        <w:trPr>
          <w:trHeight w:val="13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Създаване на работни места в резултат от изпълнението на проектното предложение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(попълва се в случай, че кандидатът планира създаване на нови работни места за реализацията на дейностите по проекта и изпълнява индикатор съгласно т. 3 от формуляра за мониторинг, включително при получени точки на техническа оценка)</w:t>
            </w:r>
          </w:p>
        </w:tc>
      </w:tr>
      <w:tr w:rsidR="00DC730A" w:rsidRPr="00DC730A" w:rsidTr="00CA7F1B">
        <w:trPr>
          <w:trHeight w:val="3390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Средносписъчен брой на персонала за предходните три финансови го-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 xml:space="preserve">дини към датата на подаване на проектното предложение или за последния отчетен период за предприятия, създадени през текущата стопанска година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Средносписъчен брой на персонала, за който кандидатът поема задължение да поддържа за период  от поне 3 години след датата на окончателното плащане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(за цялото предприятие/стопанство, включително за реализация на дейностите по проекта)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сумата от: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а).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по-малкото от двете числа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: средноаритметичната стойност на А1, А2,А3 или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само А3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+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б). стойността от Б)</w:t>
            </w:r>
          </w:p>
        </w:tc>
      </w:tr>
      <w:tr w:rsidR="00DC730A" w:rsidRPr="00DC730A" w:rsidTr="00CA7F1B">
        <w:trPr>
          <w:trHeight w:val="6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А1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(n-3)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А2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А3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</w:t>
            </w:r>
          </w:p>
        </w:tc>
      </w:tr>
      <w:tr w:rsidR="00DC730A" w:rsidRPr="00DC730A" w:rsidTr="00CA7F1B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A7F1B" w:rsidRPr="00DC730A" w:rsidTr="00CA7F1B">
        <w:trPr>
          <w:trHeight w:val="33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Средноаритметично на А1, А2 и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</w:tbl>
    <w:p w:rsidR="003137BB" w:rsidRPr="00DC730A" w:rsidRDefault="003137BB"/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колони "А" се попълва средносписъчният брой на персонала, зает в стопанството/предприятието на кандидата.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колона “Б” се попълва броя на допълнително наети по трудови правоотношения лица за реализация на дейностите по проекта. Данните следва да съответсват на тези, посочени в т. 3 от Формуляра за мониторинг.Отчитат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DC730A">
        <w:rPr>
          <w:sz w:val="24"/>
          <w:szCs w:val="24"/>
        </w:rPr>
        <w:tab/>
      </w:r>
    </w:p>
    <w:p w:rsidR="005B581D" w:rsidRPr="00DC730A" w:rsidRDefault="001D7698" w:rsidP="001D7698">
      <w:pPr>
        <w:contextualSpacing/>
        <w:jc w:val="both"/>
      </w:pPr>
      <w:r w:rsidRPr="00DC730A">
        <w:rPr>
          <w:sz w:val="24"/>
          <w:szCs w:val="24"/>
        </w:rPr>
        <w:t xml:space="preserve">В колона “В” се попълва средносписъчният брой на персонала за цялото стопанство, </w:t>
      </w:r>
      <w:r w:rsidRPr="00DC730A">
        <w:rPr>
          <w:sz w:val="24"/>
          <w:szCs w:val="24"/>
        </w:rPr>
        <w:lastRenderedPageBreak/>
        <w:t xml:space="preserve">включително работни места, разкрити в резултат на проекта, който кандидатът поема задължение да поддържа за период  от поне 3 години след </w:t>
      </w:r>
      <w:r w:rsidR="007C273C" w:rsidRPr="00DC730A">
        <w:rPr>
          <w:sz w:val="24"/>
          <w:szCs w:val="24"/>
        </w:rPr>
        <w:t>датата на окончателното плащане.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</w:p>
    <w:p w:rsidR="005B581D" w:rsidRPr="00DC730A" w:rsidRDefault="005B581D" w:rsidP="001D7698">
      <w:pPr>
        <w:contextualSpacing/>
        <w:jc w:val="both"/>
      </w:pP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II. Описание на кандидата и осъществяваната от него дейност: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Кратка информация за дейността на кандидата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048E1" w:rsidRPr="00DC730A" w:rsidRDefault="000048E1" w:rsidP="000048E1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Правен статут, организация, структура и управление, данни за постоянно заетия персонал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В.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5675F2" w:rsidRPr="00DC730A" w:rsidRDefault="005675F2" w:rsidP="005675F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181C64" w:rsidRPr="00DC730A" w:rsidRDefault="00181C64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III. Финансов план</w:t>
      </w:r>
    </w:p>
    <w:p w:rsidR="00181C64" w:rsidRPr="00DC730A" w:rsidRDefault="00181C64" w:rsidP="000D3B0B">
      <w:pPr>
        <w:pStyle w:val="a3"/>
        <w:numPr>
          <w:ilvl w:val="0"/>
          <w:numId w:val="2"/>
        </w:numPr>
        <w:spacing w:line="276" w:lineRule="auto"/>
        <w:jc w:val="both"/>
        <w:rPr>
          <w:b/>
        </w:rPr>
      </w:pPr>
      <w:r w:rsidRPr="00DC730A">
        <w:rPr>
          <w:b/>
        </w:rPr>
        <w:t>Обект и източници за финансиране на проекта</w:t>
      </w:r>
    </w:p>
    <w:p w:rsidR="000D3B0B" w:rsidRPr="00DC730A" w:rsidRDefault="000D3B0B" w:rsidP="000D3B0B">
      <w:pPr>
        <w:spacing w:line="276" w:lineRule="auto"/>
        <w:jc w:val="both"/>
        <w:rPr>
          <w:b/>
        </w:rPr>
      </w:pPr>
    </w:p>
    <w:p w:rsidR="000D3B0B" w:rsidRPr="00DC730A" w:rsidRDefault="000D3B0B" w:rsidP="000D3B0B">
      <w:pPr>
        <w:widowControl/>
        <w:autoSpaceDE/>
        <w:autoSpaceDN/>
        <w:adjustRightInd/>
        <w:jc w:val="both"/>
        <w:rPr>
          <w:b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1 Разходи за изпълнение на проекта  (всички по чл. 20 на Наредба № 22, с изключение на оперативните разходи) </w:t>
      </w:r>
    </w:p>
    <w:tbl>
      <w:tblPr>
        <w:tblW w:w="98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749"/>
        <w:gridCol w:w="1227"/>
        <w:gridCol w:w="960"/>
        <w:gridCol w:w="960"/>
        <w:gridCol w:w="814"/>
        <w:gridCol w:w="925"/>
        <w:gridCol w:w="7"/>
        <w:gridCol w:w="986"/>
        <w:gridCol w:w="1011"/>
        <w:gridCol w:w="765"/>
      </w:tblGrid>
      <w:tr w:rsidR="00DC730A" w:rsidRPr="00DC730A" w:rsidTr="006515CA">
        <w:trPr>
          <w:trHeight w:val="66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48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РАЗХОДИ ЗА ИЗПЪЛНЕНИЕ НА ПРОЕКТА 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7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 Осигуряване на средства включително</w:t>
            </w:r>
          </w:p>
        </w:tc>
      </w:tr>
      <w:tr w:rsidR="00DC730A" w:rsidRPr="00DC730A" w:rsidTr="006515CA">
        <w:trPr>
          <w:trHeight w:val="82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Други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 xml:space="preserve"> (%)</w:t>
            </w:r>
          </w:p>
        </w:tc>
      </w:tr>
      <w:tr w:rsidR="00DC730A" w:rsidRPr="00DC730A" w:rsidTr="006515CA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lastRenderedPageBreak/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gridAfter w:val="3"/>
          <w:wAfter w:w="2762" w:type="dxa"/>
          <w:trHeight w:val="315"/>
        </w:trPr>
        <w:tc>
          <w:tcPr>
            <w:tcW w:w="2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Общо: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366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AA24D4" w:rsidRPr="00DC730A" w:rsidRDefault="00AA24D4" w:rsidP="006515CA">
      <w:pPr>
        <w:tabs>
          <w:tab w:val="left" w:pos="7513"/>
        </w:tabs>
        <w:contextualSpacing/>
        <w:jc w:val="both"/>
      </w:pPr>
    </w:p>
    <w:p w:rsidR="00C658EC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1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C658EC" w:rsidRPr="00DC730A" w:rsidRDefault="00C658EC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C658EC" w:rsidRPr="00DC730A" w:rsidRDefault="00C658EC" w:rsidP="00C658EC">
      <w:pPr>
        <w:widowControl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2 Разходи за изпълнение на проекта, за които </w:t>
      </w:r>
      <w:r w:rsidRPr="00DC730A">
        <w:rPr>
          <w:rFonts w:eastAsia="Times New Roman"/>
          <w:b/>
          <w:bCs/>
          <w:sz w:val="24"/>
          <w:szCs w:val="24"/>
          <w:u w:val="single"/>
        </w:rPr>
        <w:t xml:space="preserve">не се </w:t>
      </w:r>
      <w:r w:rsidRPr="00DC730A">
        <w:rPr>
          <w:rFonts w:eastAsia="Times New Roman"/>
          <w:b/>
          <w:bCs/>
          <w:sz w:val="24"/>
          <w:szCs w:val="24"/>
        </w:rPr>
        <w:t xml:space="preserve">кандидатства за подпомагане по проекта, но са част </w:t>
      </w:r>
      <w:r w:rsidR="00235E83" w:rsidRPr="00DC730A">
        <w:rPr>
          <w:rFonts w:eastAsia="Times New Roman"/>
          <w:b/>
          <w:bCs/>
          <w:sz w:val="24"/>
          <w:szCs w:val="24"/>
        </w:rPr>
        <w:t>от цялостния</w:t>
      </w:r>
      <w:r w:rsidRPr="00DC730A">
        <w:rPr>
          <w:rFonts w:eastAsia="Times New Roman"/>
          <w:b/>
          <w:bCs/>
          <w:sz w:val="24"/>
          <w:szCs w:val="24"/>
        </w:rPr>
        <w:t xml:space="preserve"> обект на инвестицията и без тях обектът не може да бъде завършен и/или да функционира самостоятелно*</w:t>
      </w:r>
    </w:p>
    <w:p w:rsidR="00F67A13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tbl>
      <w:tblPr>
        <w:tblW w:w="995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1843"/>
        <w:gridCol w:w="709"/>
        <w:gridCol w:w="747"/>
        <w:gridCol w:w="850"/>
        <w:gridCol w:w="851"/>
        <w:gridCol w:w="1145"/>
        <w:gridCol w:w="845"/>
        <w:gridCol w:w="683"/>
      </w:tblGrid>
      <w:tr w:rsidR="00DC730A" w:rsidRPr="00DC730A" w:rsidTr="00AB312A">
        <w:trPr>
          <w:trHeight w:val="315"/>
        </w:trPr>
        <w:tc>
          <w:tcPr>
            <w:tcW w:w="55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РАЗХОДИ ЗА ИЗПЪЛНЕНИЕ НА ПРОЕКТА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6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Включително</w:t>
            </w:r>
          </w:p>
        </w:tc>
      </w:tr>
      <w:tr w:rsidR="00DC730A" w:rsidRPr="00DC730A" w:rsidTr="00AB312A">
        <w:trPr>
          <w:trHeight w:val="10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(%)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10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gridAfter w:val="3"/>
          <w:wAfter w:w="2673" w:type="dxa"/>
          <w:trHeight w:val="315"/>
        </w:trPr>
        <w:tc>
          <w:tcPr>
            <w:tcW w:w="4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81238D" w:rsidRPr="00DC730A" w:rsidRDefault="0081238D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F13607" w:rsidRPr="00DC730A" w:rsidRDefault="00F13607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 (под таблицата).</w:t>
      </w:r>
    </w:p>
    <w:p w:rsidR="005675F2" w:rsidRPr="00DC730A" w:rsidRDefault="00F13607" w:rsidP="005675F2">
      <w:pPr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2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5675F2" w:rsidRPr="00DC730A" w:rsidRDefault="005675F2" w:rsidP="005675F2">
      <w:pPr>
        <w:jc w:val="both"/>
        <w:rPr>
          <w:sz w:val="24"/>
          <w:szCs w:val="24"/>
        </w:rPr>
      </w:pPr>
    </w:p>
    <w:p w:rsidR="005675F2" w:rsidRPr="00DC730A" w:rsidRDefault="005675F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BE201F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9A3254">
        <w:rPr>
          <w:noProof/>
          <w:szCs w:val="24"/>
        </w:rPr>
        <w:drawing>
          <wp:inline distT="0" distB="0" distL="0" distR="0">
            <wp:extent cx="6543675" cy="312420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23283D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случай, че проектът генерира приходи Таблица 3 се попълва за референтен период от 10 години. </w:t>
      </w:r>
      <w:r w:rsidR="00E87EF9" w:rsidRPr="00DC730A">
        <w:rPr>
          <w:sz w:val="24"/>
          <w:szCs w:val="24"/>
        </w:rPr>
        <w:t>Таблицата се попълва само за референтна година "n" (или години "n+1", "n+2" и т.н.), в която (в които) се извършват дейностите по проекта, описани в Таблици 1 и 2</w:t>
      </w:r>
      <w:r w:rsidRPr="00DC730A">
        <w:rPr>
          <w:sz w:val="24"/>
          <w:szCs w:val="24"/>
        </w:rPr>
        <w:t>, когато не са заложени приходи.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Под таблицата се прави писмена обосновка на продажните цени, включително се предоставя се информация за използваните източници – статистика, публична информация от браншови организации, борсови цени и др.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Ако се очаква проектът да генерира приходи чрез събиране на такси от ползвателите, се предс</w:t>
      </w:r>
      <w:r w:rsidR="008B133F" w:rsidRPr="00DC730A">
        <w:rPr>
          <w:sz w:val="24"/>
          <w:szCs w:val="24"/>
        </w:rPr>
        <w:t>тавят данни за събираните такси</w:t>
      </w:r>
      <w:r w:rsidRPr="00DC730A">
        <w:rPr>
          <w:sz w:val="24"/>
          <w:szCs w:val="24"/>
        </w:rPr>
        <w:t xml:space="preserve"> (вид и размер на таксите, принцип или законодателен акт на ЕС, въз основа на които са определени таксите).</w:t>
      </w:r>
      <w:r w:rsidR="008B133F" w:rsidRPr="00DC730A">
        <w:rPr>
          <w:sz w:val="24"/>
          <w:szCs w:val="24"/>
        </w:rPr>
        <w:t xml:space="preserve"> </w:t>
      </w:r>
      <w:r w:rsidRPr="00DC730A">
        <w:rPr>
          <w:sz w:val="24"/>
          <w:szCs w:val="24"/>
        </w:rPr>
        <w:tab/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ред 8 Други разходи се отразяват и разходите за дейностите, посочени в Таблица 2.</w:t>
      </w:r>
    </w:p>
    <w:p w:rsidR="00A51725" w:rsidRPr="00DC730A" w:rsidRDefault="00A51725" w:rsidP="00A51725">
      <w:pPr>
        <w:tabs>
          <w:tab w:val="left" w:pos="7513"/>
        </w:tabs>
        <w:jc w:val="both"/>
        <w:rPr>
          <w:b/>
        </w:rPr>
      </w:pPr>
    </w:p>
    <w:p w:rsidR="00996A67" w:rsidRPr="00DC730A" w:rsidRDefault="00996A67" w:rsidP="00996A67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 xml:space="preserve">Финансова Нетна настояща стойност на инвестицията (FNPV) е сумата, която се получава, когато очакваните инвестиционни и оперативни разходи, както и разходи за подмяна по проекта (дисконтирани) се приспаднат от дисконтираната стойност на </w:t>
      </w:r>
      <w:r w:rsidRPr="00DC730A">
        <w:rPr>
          <w:sz w:val="24"/>
          <w:szCs w:val="24"/>
          <w:lang w:eastAsia="en-US"/>
        </w:rPr>
        <w:lastRenderedPageBreak/>
        <w:t>очакваните приходи.</w:t>
      </w:r>
    </w:p>
    <w:p w:rsidR="006008E5" w:rsidRPr="00DC730A" w:rsidRDefault="00BE201F" w:rsidP="00A51725">
      <w:pPr>
        <w:tabs>
          <w:tab w:val="left" w:pos="7513"/>
        </w:tabs>
        <w:contextualSpacing/>
        <w:jc w:val="both"/>
        <w:rPr>
          <w:lang w:val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4848225" cy="55245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F9A" w:rsidRPr="00DC730A" w:rsidRDefault="003F5F9A" w:rsidP="00A51725">
      <w:pPr>
        <w:tabs>
          <w:tab w:val="left" w:pos="7513"/>
        </w:tabs>
        <w:contextualSpacing/>
        <w:jc w:val="both"/>
        <w:rPr>
          <w:lang w:val="en-US"/>
        </w:rPr>
      </w:pPr>
    </w:p>
    <w:p w:rsidR="00CE6ACC" w:rsidRPr="00DC730A" w:rsidRDefault="00CE6ACC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Финансовата норма на възвръщаемост (FRR) е дисконтовият процент, който води до нулева стойност на Финансовата Нетна Настояща Стойност на инвестицията (FNPV).</w:t>
      </w:r>
    </w:p>
    <w:p w:rsidR="00CE6ACC" w:rsidRPr="00DC730A" w:rsidRDefault="00BE201F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1304925" cy="447675"/>
            <wp:effectExtent l="0" t="0" r="0" b="0"/>
            <wp:docPr id="6" name="Picture 11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u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989" w:rsidRPr="00DC730A" w:rsidRDefault="00CE6ACC" w:rsidP="00711DCC">
      <w:pPr>
        <w:spacing w:before="120" w:after="120" w:line="276" w:lineRule="auto"/>
        <w:jc w:val="both"/>
        <w:rPr>
          <w:b/>
        </w:rPr>
      </w:pPr>
      <w:r w:rsidRPr="00DC730A">
        <w:rPr>
          <w:sz w:val="24"/>
          <w:szCs w:val="24"/>
          <w:lang w:eastAsia="en-US"/>
        </w:rPr>
        <w:t>където </w:t>
      </w:r>
      <w:r w:rsidRPr="00DC730A">
        <w:rPr>
          <w:i/>
          <w:iCs/>
          <w:sz w:val="24"/>
          <w:szCs w:val="24"/>
          <w:lang w:eastAsia="en-US"/>
        </w:rPr>
        <w:t>S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балансът на паричния поток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, а </w:t>
      </w:r>
      <w:r w:rsidRPr="00DC730A">
        <w:rPr>
          <w:i/>
          <w:iCs/>
          <w:sz w:val="24"/>
          <w:szCs w:val="24"/>
          <w:lang w:eastAsia="en-US"/>
        </w:rPr>
        <w:t>a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дисконтовата норма, избрана за дисконтиране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; </w:t>
      </w:r>
      <w:r w:rsidRPr="00DC730A">
        <w:rPr>
          <w:i/>
          <w:iCs/>
          <w:sz w:val="24"/>
          <w:szCs w:val="24"/>
          <w:lang w:eastAsia="en-US"/>
        </w:rPr>
        <w:t>i</w:t>
      </w:r>
      <w:r w:rsidRPr="00DC730A">
        <w:rPr>
          <w:sz w:val="24"/>
          <w:szCs w:val="24"/>
          <w:lang w:eastAsia="en-US"/>
        </w:rPr>
        <w:t> е дисконтовият процент.</w:t>
      </w:r>
      <w:r w:rsidR="00C078B6" w:rsidRPr="00DC730A">
        <w:tab/>
      </w:r>
      <w:r w:rsidR="00C078B6" w:rsidRPr="00DC730A">
        <w:tab/>
      </w:r>
    </w:p>
    <w:sectPr w:rsidR="00A54989" w:rsidRPr="00DC730A" w:rsidSect="00501CBC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F6C" w:rsidRDefault="00433F6C" w:rsidP="00B541C7">
      <w:r>
        <w:separator/>
      </w:r>
    </w:p>
  </w:endnote>
  <w:endnote w:type="continuationSeparator" w:id="0">
    <w:p w:rsidR="00433F6C" w:rsidRDefault="00433F6C" w:rsidP="00B5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C29" w:rsidRDefault="000E1C29" w:rsidP="00A14745">
    <w:pPr>
      <w:pStyle w:val="a9"/>
      <w:jc w:val="center"/>
      <w:rPr>
        <w:bCs/>
        <w:color w:val="000000"/>
        <w:lang w:eastAsia="en-US"/>
      </w:rPr>
    </w:pPr>
    <w:r w:rsidRPr="00A14745">
      <w:rPr>
        <w:lang w:eastAsia="en-US"/>
      </w:rPr>
      <w:t xml:space="preserve">Финансовият анализ се изготвя в съответствие с </w:t>
    </w:r>
    <w:r w:rsidRPr="00A14745">
      <w:rPr>
        <w:bCs/>
        <w:color w:val="000000"/>
        <w:lang w:eastAsia="en-US"/>
      </w:rPr>
      <w:t>чл. 61 от Регламент 1303/2013 и чл. 15 от Делегиран Регламент 480/2014.</w:t>
    </w:r>
  </w:p>
  <w:p w:rsidR="000E1C29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</w:rPr>
    </w:pPr>
  </w:p>
  <w:p w:rsidR="000E1C29" w:rsidRPr="009D017D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  <w:sz w:val="24"/>
        <w:szCs w:val="24"/>
        <w:lang w:eastAsia="en-US"/>
      </w:rPr>
    </w:pPr>
    <w:r w:rsidRPr="009D017D">
      <w:rPr>
        <w:b/>
        <w:i/>
      </w:rPr>
      <w:t>Име на кандидата: ..................................................................................... Подпис/Печат: ............................</w:t>
    </w:r>
  </w:p>
  <w:p w:rsidR="000E1C29" w:rsidRPr="00A14745" w:rsidRDefault="000E1C29" w:rsidP="00A1474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F6C" w:rsidRDefault="00433F6C" w:rsidP="00B541C7">
      <w:r>
        <w:separator/>
      </w:r>
    </w:p>
  </w:footnote>
  <w:footnote w:type="continuationSeparator" w:id="0">
    <w:p w:rsidR="00433F6C" w:rsidRDefault="00433F6C" w:rsidP="00B5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1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b/>
        <w:spacing w:val="40"/>
        <w:sz w:val="16"/>
        <w:szCs w:val="16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A92B2A" w:rsidRPr="00A92B2A" w:rsidRDefault="00A92B2A" w:rsidP="00A92B2A">
    <w:pPr>
      <w:widowControl/>
      <w:tabs>
        <w:tab w:val="right" w:pos="11766"/>
      </w:tabs>
      <w:autoSpaceDE/>
      <w:autoSpaceDN/>
      <w:adjustRightInd/>
      <w:jc w:val="center"/>
      <w:rPr>
        <w:rFonts w:ascii="Verdana" w:hAnsi="Verdana"/>
        <w:b/>
        <w:spacing w:val="40"/>
        <w:lang w:eastAsia="en-US"/>
      </w:rPr>
    </w:pPr>
    <w:r w:rsidRPr="00A92B2A">
      <w:rPr>
        <w:rFonts w:ascii="Verdana" w:hAnsi="Verdana"/>
        <w:b/>
        <w:spacing w:val="40"/>
        <w:lang w:eastAsia="en-US"/>
      </w:rPr>
      <w:t>СНЦ  Местна инициативна група Чирпан</w:t>
    </w:r>
  </w:p>
  <w:p w:rsidR="00A92B2A" w:rsidRDefault="00A92B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D3D59"/>
    <w:multiLevelType w:val="hybridMultilevel"/>
    <w:tmpl w:val="AE1285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E3695"/>
    <w:multiLevelType w:val="hybridMultilevel"/>
    <w:tmpl w:val="3B72D4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80C19"/>
    <w:multiLevelType w:val="hybridMultilevel"/>
    <w:tmpl w:val="A85A3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209"/>
    <w:rsid w:val="000048E1"/>
    <w:rsid w:val="00032E5A"/>
    <w:rsid w:val="00034453"/>
    <w:rsid w:val="00044105"/>
    <w:rsid w:val="000903E2"/>
    <w:rsid w:val="000C77DD"/>
    <w:rsid w:val="000D26BD"/>
    <w:rsid w:val="000D3B0B"/>
    <w:rsid w:val="000E1C29"/>
    <w:rsid w:val="001249CD"/>
    <w:rsid w:val="00130048"/>
    <w:rsid w:val="00164FA4"/>
    <w:rsid w:val="00181C64"/>
    <w:rsid w:val="001921D7"/>
    <w:rsid w:val="001D7698"/>
    <w:rsid w:val="001F2F7D"/>
    <w:rsid w:val="0023283D"/>
    <w:rsid w:val="00235542"/>
    <w:rsid w:val="00235E83"/>
    <w:rsid w:val="00255209"/>
    <w:rsid w:val="002A07F5"/>
    <w:rsid w:val="002C2AA6"/>
    <w:rsid w:val="002E2073"/>
    <w:rsid w:val="003137BB"/>
    <w:rsid w:val="00365934"/>
    <w:rsid w:val="00372868"/>
    <w:rsid w:val="00381EC5"/>
    <w:rsid w:val="00390C15"/>
    <w:rsid w:val="003B222D"/>
    <w:rsid w:val="003B43D8"/>
    <w:rsid w:val="003C4162"/>
    <w:rsid w:val="003C6E70"/>
    <w:rsid w:val="003E0109"/>
    <w:rsid w:val="003F01EC"/>
    <w:rsid w:val="003F5F9A"/>
    <w:rsid w:val="003F6876"/>
    <w:rsid w:val="00407831"/>
    <w:rsid w:val="004172E4"/>
    <w:rsid w:val="00433F6C"/>
    <w:rsid w:val="004371CC"/>
    <w:rsid w:val="00446CA5"/>
    <w:rsid w:val="00470215"/>
    <w:rsid w:val="00494D43"/>
    <w:rsid w:val="004B1191"/>
    <w:rsid w:val="004D6557"/>
    <w:rsid w:val="004F6583"/>
    <w:rsid w:val="004F7D70"/>
    <w:rsid w:val="00501CBC"/>
    <w:rsid w:val="005037E8"/>
    <w:rsid w:val="005363B2"/>
    <w:rsid w:val="00566E14"/>
    <w:rsid w:val="005675F2"/>
    <w:rsid w:val="00576112"/>
    <w:rsid w:val="005943A7"/>
    <w:rsid w:val="005B581D"/>
    <w:rsid w:val="006008E5"/>
    <w:rsid w:val="006432B9"/>
    <w:rsid w:val="006515CA"/>
    <w:rsid w:val="00683A2F"/>
    <w:rsid w:val="0069019E"/>
    <w:rsid w:val="006B4FEC"/>
    <w:rsid w:val="006C1A73"/>
    <w:rsid w:val="00711DCC"/>
    <w:rsid w:val="00712CEB"/>
    <w:rsid w:val="0072798A"/>
    <w:rsid w:val="00767BCA"/>
    <w:rsid w:val="007869C9"/>
    <w:rsid w:val="007C273C"/>
    <w:rsid w:val="007E18CA"/>
    <w:rsid w:val="008103A5"/>
    <w:rsid w:val="0081238D"/>
    <w:rsid w:val="00820B52"/>
    <w:rsid w:val="0083027B"/>
    <w:rsid w:val="00883C2B"/>
    <w:rsid w:val="008B133F"/>
    <w:rsid w:val="008D1A83"/>
    <w:rsid w:val="008E302D"/>
    <w:rsid w:val="00903883"/>
    <w:rsid w:val="00927B1A"/>
    <w:rsid w:val="009342FD"/>
    <w:rsid w:val="00952E4A"/>
    <w:rsid w:val="00955A0C"/>
    <w:rsid w:val="0098088E"/>
    <w:rsid w:val="00996A67"/>
    <w:rsid w:val="009A3254"/>
    <w:rsid w:val="009C6E39"/>
    <w:rsid w:val="009D6CDB"/>
    <w:rsid w:val="00A14745"/>
    <w:rsid w:val="00A26451"/>
    <w:rsid w:val="00A42EE3"/>
    <w:rsid w:val="00A51725"/>
    <w:rsid w:val="00A54989"/>
    <w:rsid w:val="00A54B48"/>
    <w:rsid w:val="00A57BE0"/>
    <w:rsid w:val="00A63AE2"/>
    <w:rsid w:val="00A92B2A"/>
    <w:rsid w:val="00AA24D4"/>
    <w:rsid w:val="00AA7247"/>
    <w:rsid w:val="00AB0D5B"/>
    <w:rsid w:val="00AB312A"/>
    <w:rsid w:val="00AF2043"/>
    <w:rsid w:val="00B06960"/>
    <w:rsid w:val="00B42B54"/>
    <w:rsid w:val="00B45053"/>
    <w:rsid w:val="00B541C7"/>
    <w:rsid w:val="00B564E1"/>
    <w:rsid w:val="00B60E6D"/>
    <w:rsid w:val="00B72248"/>
    <w:rsid w:val="00B8188C"/>
    <w:rsid w:val="00B84D18"/>
    <w:rsid w:val="00B9081D"/>
    <w:rsid w:val="00BB0F68"/>
    <w:rsid w:val="00BD3A46"/>
    <w:rsid w:val="00BD4FC9"/>
    <w:rsid w:val="00BE201F"/>
    <w:rsid w:val="00BF4D34"/>
    <w:rsid w:val="00C078B6"/>
    <w:rsid w:val="00C12436"/>
    <w:rsid w:val="00C127A7"/>
    <w:rsid w:val="00C13345"/>
    <w:rsid w:val="00C60215"/>
    <w:rsid w:val="00C658EC"/>
    <w:rsid w:val="00C96B85"/>
    <w:rsid w:val="00C9700F"/>
    <w:rsid w:val="00CA7F1B"/>
    <w:rsid w:val="00CC5CF3"/>
    <w:rsid w:val="00CD6056"/>
    <w:rsid w:val="00CE6ACC"/>
    <w:rsid w:val="00CE74AF"/>
    <w:rsid w:val="00D454E8"/>
    <w:rsid w:val="00DB216B"/>
    <w:rsid w:val="00DC730A"/>
    <w:rsid w:val="00DE09DD"/>
    <w:rsid w:val="00DE51BE"/>
    <w:rsid w:val="00DF19A3"/>
    <w:rsid w:val="00DF28C6"/>
    <w:rsid w:val="00E03187"/>
    <w:rsid w:val="00E12702"/>
    <w:rsid w:val="00E443D2"/>
    <w:rsid w:val="00E654A6"/>
    <w:rsid w:val="00E73BF3"/>
    <w:rsid w:val="00E87EF9"/>
    <w:rsid w:val="00E9637F"/>
    <w:rsid w:val="00EA688C"/>
    <w:rsid w:val="00EB24DC"/>
    <w:rsid w:val="00EB34C4"/>
    <w:rsid w:val="00ED26D2"/>
    <w:rsid w:val="00F04DCD"/>
    <w:rsid w:val="00F05234"/>
    <w:rsid w:val="00F13607"/>
    <w:rsid w:val="00F30A2B"/>
    <w:rsid w:val="00F40DB9"/>
    <w:rsid w:val="00F45EAA"/>
    <w:rsid w:val="00F607FF"/>
    <w:rsid w:val="00F67A13"/>
    <w:rsid w:val="00FE0EDF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DD4F9A"/>
  <w15:docId w15:val="{BBB41C18-D158-4885-B92E-1540BEAF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E14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rsid w:val="00566E14"/>
    <w:rPr>
      <w:rFonts w:ascii="Times New Roman" w:eastAsia="Calibri" w:hAnsi="Times New Roman" w:cs="Times New Roman"/>
      <w:sz w:val="16"/>
      <w:szCs w:val="16"/>
    </w:rPr>
  </w:style>
  <w:style w:type="paragraph" w:styleId="a3">
    <w:name w:val="List Paragraph"/>
    <w:basedOn w:val="a"/>
    <w:qFormat/>
    <w:rsid w:val="00566E1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GB" w:eastAsia="en-US"/>
    </w:rPr>
  </w:style>
  <w:style w:type="character" w:styleId="a4">
    <w:name w:val="Hyperlink"/>
    <w:unhideWhenUsed/>
    <w:rsid w:val="00566E14"/>
    <w:rPr>
      <w:color w:val="0000FF"/>
      <w:u w:val="single"/>
    </w:rPr>
  </w:style>
  <w:style w:type="character" w:customStyle="1" w:styleId="alt2">
    <w:name w:val="al_t2"/>
    <w:rsid w:val="00566E14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66E1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566E14"/>
    <w:rPr>
      <w:rFonts w:ascii="Tahoma" w:eastAsia="Calibri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link w:val="a7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A92B2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A92B2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EU32013R1305');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9.png"/><Relationship Id="rId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12007</CharactersWithSpaces>
  <SharedDoc>false</SharedDoc>
  <HLinks>
    <vt:vector size="6" baseType="variant">
      <vt:variant>
        <vt:i4>5570563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NavigateDocument('EU32013R1305');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ss</cp:lastModifiedBy>
  <cp:revision>3</cp:revision>
  <cp:lastPrinted>2017-11-29T15:10:00Z</cp:lastPrinted>
  <dcterms:created xsi:type="dcterms:W3CDTF">2018-05-09T11:26:00Z</dcterms:created>
  <dcterms:modified xsi:type="dcterms:W3CDTF">2018-11-05T14:21:00Z</dcterms:modified>
</cp:coreProperties>
</file>