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 wp14:anchorId="2676F1D3" wp14:editId="3C2801E5">
            <wp:simplePos x="0" y="0"/>
            <wp:positionH relativeFrom="column">
              <wp:posOffset>3804920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65DD8AA7" wp14:editId="7F1D080C">
            <wp:simplePos x="0" y="0"/>
            <wp:positionH relativeFrom="column">
              <wp:posOffset>2640965</wp:posOffset>
            </wp:positionH>
            <wp:positionV relativeFrom="paragraph">
              <wp:posOffset>126365</wp:posOffset>
            </wp:positionV>
            <wp:extent cx="962046" cy="562132"/>
            <wp:effectExtent l="19050" t="0" r="9504" b="0"/>
            <wp:wrapNone/>
            <wp:docPr id="4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1312" behindDoc="0" locked="0" layoutInCell="1" allowOverlap="1" wp14:anchorId="17CABD55" wp14:editId="57CE1ADA">
            <wp:simplePos x="0" y="0"/>
            <wp:positionH relativeFrom="column">
              <wp:posOffset>-720725</wp:posOffset>
            </wp:positionH>
            <wp:positionV relativeFrom="paragraph">
              <wp:posOffset>34925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sz w:val="20"/>
          <w:szCs w:val="20"/>
          <w:lang w:eastAsia="bg-BG"/>
        </w:rPr>
        <w:t xml:space="preserve"> </w:t>
      </w:r>
    </w:p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3360" behindDoc="0" locked="0" layoutInCell="1" allowOverlap="1" wp14:anchorId="18E90726" wp14:editId="3EC3EA23">
            <wp:simplePos x="0" y="0"/>
            <wp:positionH relativeFrom="column">
              <wp:posOffset>5499735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 wp14:anchorId="7CFA166E" wp14:editId="213B725F">
            <wp:simplePos x="0" y="0"/>
            <wp:positionH relativeFrom="column">
              <wp:posOffset>1522095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22415C" w:rsidRPr="005555A2" w:rsidRDefault="0022415C" w:rsidP="0022415C">
      <w:pPr>
        <w:tabs>
          <w:tab w:val="right" w:pos="9072"/>
        </w:tabs>
        <w:spacing w:after="0" w:line="240" w:lineRule="auto"/>
        <w:rPr>
          <w:rFonts w:eastAsia="Times New Roman" w:cs="Times New Roman"/>
          <w:b/>
          <w:spacing w:val="4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    </w:t>
      </w:r>
      <w:r w:rsidRPr="005555A2">
        <w:rPr>
          <w:rFonts w:ascii="Times New Roman" w:eastAsia="Times New Roman" w:hAnsi="Times New Roman" w:cs="Times New Roman"/>
          <w:sz w:val="20"/>
          <w:szCs w:val="20"/>
          <w:highlight w:val="white"/>
          <w:shd w:val="clear" w:color="auto" w:fill="FEFEFE"/>
          <w:lang w:eastAsia="bg-BG"/>
        </w:rPr>
        <w:t>Европейският земеделски фонд за развитие на селските райони: Европа инвестира в селските райони</w:t>
      </w:r>
      <w:r w:rsidRPr="005555A2">
        <w:rPr>
          <w:rFonts w:eastAsia="Times New Roman" w:cs="Times New Roman"/>
          <w:b/>
          <w:spacing w:val="40"/>
          <w:sz w:val="20"/>
          <w:szCs w:val="20"/>
          <w:lang w:eastAsia="bg-BG"/>
        </w:rPr>
        <w:tab/>
      </w:r>
    </w:p>
    <w:p w:rsidR="0022415C" w:rsidRPr="005555A2" w:rsidRDefault="0022415C" w:rsidP="0022415C">
      <w:pPr>
        <w:tabs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5555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Програма за развитие на селските райони 2014 - 2020</w:t>
      </w:r>
    </w:p>
    <w:p w:rsidR="0022415C" w:rsidRPr="005555A2" w:rsidRDefault="0022415C" w:rsidP="0022415C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              </w:t>
      </w:r>
      <w:r w:rsidRPr="005555A2">
        <w:rPr>
          <w:rFonts w:ascii="Times New Roman" w:eastAsia="Times New Roman" w:hAnsi="Times New Roman" w:cs="Times New Roman"/>
          <w:b/>
          <w:spacing w:val="40"/>
          <w:lang w:eastAsia="bg-BG"/>
        </w:rPr>
        <w:t>СНЦ  Местна инициативна група Чирпан</w:t>
      </w:r>
    </w:p>
    <w:p w:rsidR="0022415C" w:rsidRPr="005555A2" w:rsidRDefault="0022415C" w:rsidP="0022415C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България,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п.к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6200, гр. Чирпан, общ. Чирпан,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обл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Стара Загора,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ул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.“Вълко и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Кабаиван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“ № 9, </w:t>
      </w:r>
    </w:p>
    <w:p w:rsidR="0022415C" w:rsidRPr="005555A2" w:rsidRDefault="0022415C" w:rsidP="0022415C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тел.0897/995 717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, e-mail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hyperlink r:id="rId9" w:history="1">
        <w:r w:rsidRPr="005555A2">
          <w:rPr>
            <w:rFonts w:ascii="Times New Roman" w:eastAsia="Times New Roman" w:hAnsi="Times New Roman" w:cs="Times New Roman"/>
            <w:sz w:val="20"/>
            <w:szCs w:val="20"/>
            <w:lang w:val="en-US" w:eastAsia="bg-BG"/>
          </w:rPr>
          <w:t>migchirpan@abv.bg</w:t>
        </w:r>
      </w:hyperlink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web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www.migchirpan.eu</w:t>
      </w:r>
    </w:p>
    <w:p w:rsidR="0022415C" w:rsidRDefault="0022415C" w:rsidP="002241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15C" w:rsidRDefault="0022415C" w:rsidP="002B5768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bg-BG"/>
        </w:rPr>
      </w:pPr>
    </w:p>
    <w:p w:rsidR="0022415C" w:rsidRPr="0022415C" w:rsidRDefault="008D63E3" w:rsidP="0022415C">
      <w:pPr>
        <w:spacing w:after="0" w:line="240" w:lineRule="auto"/>
        <w:jc w:val="right"/>
        <w:rPr>
          <w:rFonts w:ascii="Book Antiqua" w:eastAsia="Times New Roman" w:hAnsi="Book Antiqua" w:cs="Arial"/>
          <w:sz w:val="24"/>
          <w:szCs w:val="24"/>
          <w:lang w:eastAsia="bg-BG"/>
        </w:rPr>
      </w:pPr>
      <w:r>
        <w:rPr>
          <w:rFonts w:ascii="Book Antiqua" w:eastAsia="Times New Roman" w:hAnsi="Book Antiqua" w:cs="Arial"/>
          <w:sz w:val="24"/>
          <w:szCs w:val="24"/>
          <w:lang w:eastAsia="bg-BG"/>
        </w:rPr>
        <w:t>Приложение № 3</w:t>
      </w:r>
      <w:r w:rsidR="00EC63EB">
        <w:rPr>
          <w:rFonts w:ascii="Book Antiqua" w:eastAsia="Times New Roman" w:hAnsi="Book Antiqua" w:cs="Arial"/>
          <w:sz w:val="24"/>
          <w:szCs w:val="24"/>
          <w:lang w:eastAsia="bg-BG"/>
        </w:rPr>
        <w:t>0</w:t>
      </w:r>
      <w:bookmarkStart w:id="0" w:name="_GoBack"/>
      <w:bookmarkEnd w:id="0"/>
    </w:p>
    <w:p w:rsidR="0022415C" w:rsidRPr="0022415C" w:rsidRDefault="0022415C" w:rsidP="0022415C">
      <w:pPr>
        <w:spacing w:after="0" w:line="240" w:lineRule="auto"/>
        <w:jc w:val="right"/>
        <w:rPr>
          <w:rFonts w:ascii="Book Antiqua" w:eastAsia="Times New Roman" w:hAnsi="Book Antiqua" w:cs="Arial"/>
          <w:sz w:val="24"/>
          <w:szCs w:val="24"/>
          <w:lang w:eastAsia="bg-BG"/>
        </w:rPr>
      </w:pPr>
      <w:r w:rsidRPr="0022415C">
        <w:rPr>
          <w:rFonts w:ascii="Book Antiqua" w:eastAsia="Times New Roman" w:hAnsi="Book Antiqua" w:cs="Arial"/>
          <w:sz w:val="24"/>
          <w:szCs w:val="24"/>
          <w:lang w:eastAsia="bg-BG"/>
        </w:rPr>
        <w:t>Към Условия за кандидатстване</w:t>
      </w:r>
    </w:p>
    <w:p w:rsidR="0022415C" w:rsidRDefault="0022415C" w:rsidP="002B5768">
      <w:pPr>
        <w:spacing w:after="0" w:line="240" w:lineRule="auto"/>
        <w:jc w:val="center"/>
        <w:rPr>
          <w:rFonts w:ascii="Book Antiqua" w:eastAsia="Times New Roman" w:hAnsi="Book Antiqua" w:cs="Arial"/>
          <w:sz w:val="35"/>
          <w:szCs w:val="35"/>
          <w:lang w:eastAsia="bg-BG"/>
        </w:rPr>
      </w:pPr>
    </w:p>
    <w:p w:rsidR="002B5768" w:rsidRPr="0022415C" w:rsidRDefault="002B5768" w:rsidP="002B5768">
      <w:pPr>
        <w:spacing w:after="0" w:line="240" w:lineRule="auto"/>
        <w:jc w:val="center"/>
        <w:rPr>
          <w:rFonts w:ascii="Book Antiqua" w:eastAsia="Times New Roman" w:hAnsi="Book Antiqua" w:cs="Arial"/>
          <w:b/>
          <w:sz w:val="35"/>
          <w:szCs w:val="35"/>
          <w:lang w:eastAsia="bg-BG"/>
        </w:rPr>
      </w:pPr>
      <w:r w:rsidRPr="0022415C">
        <w:rPr>
          <w:rFonts w:ascii="Book Antiqua" w:eastAsia="Times New Roman" w:hAnsi="Book Antiqua" w:cs="Arial"/>
          <w:b/>
          <w:sz w:val="35"/>
          <w:szCs w:val="35"/>
          <w:lang w:eastAsia="bg-BG"/>
        </w:rPr>
        <w:t>РАБОТЕН ЛИСТ</w:t>
      </w:r>
    </w:p>
    <w:p w:rsidR="002B5768" w:rsidRPr="0022415C" w:rsidRDefault="002B5768" w:rsidP="002B5768">
      <w:pPr>
        <w:spacing w:after="0" w:line="240" w:lineRule="auto"/>
        <w:jc w:val="center"/>
        <w:rPr>
          <w:rFonts w:ascii="Book Antiqua" w:eastAsia="Times New Roman" w:hAnsi="Book Antiqua" w:cs="Arial"/>
          <w:b/>
          <w:sz w:val="30"/>
          <w:szCs w:val="30"/>
          <w:lang w:eastAsia="bg-BG"/>
        </w:rPr>
      </w:pPr>
      <w:r w:rsidRPr="0022415C">
        <w:rPr>
          <w:rFonts w:ascii="Book Antiqua" w:eastAsia="Times New Roman" w:hAnsi="Book Antiqua" w:cs="Arial"/>
          <w:b/>
          <w:sz w:val="30"/>
          <w:szCs w:val="30"/>
          <w:lang w:eastAsia="bg-BG"/>
        </w:rPr>
        <w:t>проверка за липса на двойно финансиране, наличие на изкуствено създадени условия, проверка за</w:t>
      </w:r>
    </w:p>
    <w:p w:rsidR="007E78D1" w:rsidRPr="002B5768" w:rsidRDefault="007E78D1" w:rsidP="002B5768">
      <w:pPr>
        <w:spacing w:after="0" w:line="240" w:lineRule="auto"/>
        <w:jc w:val="center"/>
        <w:rPr>
          <w:rFonts w:ascii="Arial" w:eastAsia="Times New Roman" w:hAnsi="Arial" w:cs="Arial"/>
          <w:sz w:val="30"/>
          <w:szCs w:val="30"/>
          <w:lang w:eastAsia="bg-BG"/>
        </w:rPr>
      </w:pPr>
    </w:p>
    <w:tbl>
      <w:tblPr>
        <w:tblW w:w="9639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381"/>
        <w:gridCol w:w="992"/>
        <w:gridCol w:w="1276"/>
        <w:gridCol w:w="1564"/>
      </w:tblGrid>
      <w:tr w:rsidR="007E78D1" w:rsidRPr="007E78D1" w:rsidTr="007E78D1">
        <w:trPr>
          <w:trHeight w:val="330"/>
          <w:jc w:val="right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t>ПРОВЕРКА ЗА ЛИПСА НА ДВОЙНО ФИНАНСИРАНЕ</w:t>
            </w:r>
          </w:p>
        </w:tc>
      </w:tr>
      <w:tr w:rsidR="007E78D1" w:rsidRPr="0022415C" w:rsidTr="007E78D1">
        <w:trPr>
          <w:trHeight w:val="315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Н/П</w:t>
            </w:r>
          </w:p>
        </w:tc>
      </w:tr>
      <w:tr w:rsidR="007E78D1" w:rsidRPr="0022415C" w:rsidTr="007E78D1">
        <w:trPr>
          <w:trHeight w:val="1260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1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Кандидатът е представ</w:t>
            </w:r>
            <w:r w:rsidR="00AA4C3E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ил декларация, че не е получил </w:t>
            </w: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подпомагане за същата инвестиция по друга програма.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</w:tr>
      <w:tr w:rsidR="007E78D1" w:rsidRPr="0022415C" w:rsidTr="00AA4C3E">
        <w:trPr>
          <w:trHeight w:val="589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2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В публичния модул </w:t>
            </w:r>
            <w:r w:rsidR="00AA4C3E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в ИСУН липсват данни за двойно </w:t>
            </w: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финансиране.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</w:tr>
      <w:tr w:rsidR="007E78D1" w:rsidRPr="007E78D1" w:rsidTr="007E78D1">
        <w:trPr>
          <w:trHeight w:val="615"/>
          <w:jc w:val="right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t>ПРОВЕРКА ЗА НАЛИЧИЕ НА ИЗКУСТВЕНО СЪЗДАДЕНИ У</w:t>
            </w: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br/>
              <w:t>СЛОВИЯ</w:t>
            </w:r>
          </w:p>
        </w:tc>
      </w:tr>
      <w:tr w:rsidR="007E78D1" w:rsidRPr="0022415C" w:rsidTr="007E78D1">
        <w:trPr>
          <w:trHeight w:val="315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Н/П</w:t>
            </w:r>
          </w:p>
        </w:tc>
      </w:tr>
      <w:tr w:rsidR="007E78D1" w:rsidRPr="0022415C" w:rsidTr="0022415C">
        <w:trPr>
          <w:trHeight w:val="945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1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Кандидатът е декларирал липса на изкуствено създадени условия  и/или наличие на функционална несамостоятелност.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22415C" w:rsidTr="00AA4C3E">
        <w:trPr>
          <w:trHeight w:val="4535"/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lastRenderedPageBreak/>
              <w:t>2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Проверката за наличие или липса на изкуствено създадени условия е извършена на база проверка на всички представени документи към </w:t>
            </w:r>
            <w:proofErr w:type="spellStart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пoдаденото</w:t>
            </w:r>
            <w:proofErr w:type="spellEnd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 проектно предложение. В представените документи не са констатирани изкуствено създадени условия съгласно § 5 от  допълнителните разпоредби на Наредба № 22 от 14.12.2015 г. за прилагане на </w:t>
            </w:r>
            <w:proofErr w:type="spellStart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подмярка</w:t>
            </w:r>
            <w:proofErr w:type="spellEnd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"ВОМР" от Програмата за развитие на селските райони за периода 2014 – 2020 г., издадена от Министъра на земеделието и храните, </w:t>
            </w:r>
            <w:proofErr w:type="spellStart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обн</w:t>
            </w:r>
            <w:proofErr w:type="spellEnd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., ДВ, бр. 100 от 18.12.2015 г., в сила от 18.12.2015 г., изм. и доп. ДВ. бр.38 от 20 Май 2016г. , изм. и доп. ДВ. бр. 69 от 25 Август 2017 г. (Наредба № 22).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7E78D1" w:rsidTr="0022415C">
        <w:trPr>
          <w:trHeight w:val="330"/>
          <w:jc w:val="right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t xml:space="preserve">ПРОВЕРКА ЗА МИНИМАЛНИ/ДЪРЖАВНИ ПОМОЩИ </w:t>
            </w: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br/>
              <w:t>(когато е приложимо)</w:t>
            </w:r>
          </w:p>
        </w:tc>
      </w:tr>
      <w:tr w:rsidR="007E78D1" w:rsidRPr="0022415C" w:rsidTr="007E78D1">
        <w:trPr>
          <w:trHeight w:val="315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Н/П</w:t>
            </w:r>
          </w:p>
        </w:tc>
      </w:tr>
      <w:tr w:rsidR="007E78D1" w:rsidRPr="0022415C" w:rsidTr="0022415C">
        <w:trPr>
          <w:trHeight w:val="630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1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both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Кандидатът е попълнил и представил Декларация за минимални и държавни помощи.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22415C" w:rsidTr="00AA4C3E">
        <w:trPr>
          <w:trHeight w:val="1632"/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2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E3" w:rsidRDefault="008D63E3" w:rsidP="008D63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Финансовото подпомагане представлява „минимална помощ“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при условията на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Регламент 1407/2013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.Кандидатите и дейностите, които ще се финансират,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попадат в приложното поле на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чл.1 на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Регламент 1407/2013/ако е приложимо/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.</w:t>
            </w:r>
          </w:p>
          <w:p w:rsidR="007E78D1" w:rsidRPr="007E78D1" w:rsidRDefault="008D63E3" w:rsidP="008D63E3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В случай, че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кандидатите и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дейностите не попадат в приложното поле на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чл.1 на 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Регламент 1407/2013, </w:t>
            </w:r>
            <w:r w:rsidRPr="00C52EC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bg-BG"/>
              </w:rPr>
              <w:t>проектното предложение ще бъде отхвърлено.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22415C" w:rsidTr="0022415C">
        <w:trPr>
          <w:trHeight w:val="1290"/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3</w:t>
            </w:r>
          </w:p>
        </w:tc>
        <w:tc>
          <w:tcPr>
            <w:tcW w:w="5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E3" w:rsidRPr="00C52EC5" w:rsidRDefault="008D63E3" w:rsidP="008D63E3">
            <w:pPr>
              <w:spacing w:after="0" w:line="240" w:lineRule="auto"/>
            </w:pP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Проектното предложение съответства на изискванията на Регламент 1407/2013.</w:t>
            </w:r>
            <w:r w:rsidRPr="00C52EC5">
              <w:t xml:space="preserve"> </w:t>
            </w:r>
          </w:p>
          <w:p w:rsidR="007E78D1" w:rsidRPr="007E78D1" w:rsidRDefault="008D63E3" w:rsidP="008D63E3">
            <w:pPr>
              <w:spacing w:after="0" w:line="240" w:lineRule="auto"/>
              <w:jc w:val="both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Проверява се прагът на помощта  в: Информационната система "Регистър на минималните помощи", Информационната система за управление и наблюдение на Структурните инструменти на ЕС в България 2007-2013 (ИСУН), Информационната система за управление и наблюдение на Структурните инструменти на ЕС в България (ИСУН 2020), Търговския регистър и чрез Декларацията за минимални помощи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22415C" w:rsidTr="007E78D1">
        <w:trPr>
          <w:trHeight w:val="630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4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E3" w:rsidRPr="00A8247B" w:rsidRDefault="008D63E3" w:rsidP="008D63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Финансовата помощ за един кандидат в условията на чл.2, пар.2 на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Регламент 1407/2013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едно и също предприятие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, заедно с другите получени минимални помощи и съгласно изискванията на  чл.5 на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Регламент 1407/2013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, не надхвърлят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lastRenderedPageBreak/>
              <w:t xml:space="preserve">левовата равностойност на 200 000 евро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100 000 евро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в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случай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на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едно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и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също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предприятие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което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осъществява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автомобилни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товарни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превози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за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чужда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сметка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 за период от три последователни години, включително текущата.</w:t>
            </w:r>
          </w:p>
          <w:p w:rsidR="007E78D1" w:rsidRPr="007E78D1" w:rsidRDefault="008D63E3" w:rsidP="008D63E3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В случай , че се установи, че с финансовата помощ, за която се кандидатства, ще бъде надхвърлен прагът на допустимите минимални помощи, Комисията намалява служебно размера на БФП до максимално допустимия размер.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</w:tbl>
    <w:p w:rsidR="00F94EB2" w:rsidRDefault="00F94EB2" w:rsidP="007E78D1">
      <w:pPr>
        <w:jc w:val="center"/>
      </w:pPr>
    </w:p>
    <w:sectPr w:rsidR="00F94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A2"/>
    <w:rsid w:val="0022415C"/>
    <w:rsid w:val="002B5768"/>
    <w:rsid w:val="00580DA2"/>
    <w:rsid w:val="007E78D1"/>
    <w:rsid w:val="008D63E3"/>
    <w:rsid w:val="00AA4C3E"/>
    <w:rsid w:val="00EC63EB"/>
    <w:rsid w:val="00F9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B97E9E"/>
  <w15:chartTrackingRefBased/>
  <w15:docId w15:val="{0C1A32F6-A891-4E0C-A827-97FBE574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migchirpan@abv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7</cp:revision>
  <dcterms:created xsi:type="dcterms:W3CDTF">2018-11-06T07:58:00Z</dcterms:created>
  <dcterms:modified xsi:type="dcterms:W3CDTF">2018-11-06T15:35:00Z</dcterms:modified>
</cp:coreProperties>
</file>